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72EF6" w14:textId="77777777" w:rsidR="008E6779" w:rsidRPr="00760D45" w:rsidRDefault="008E6779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  <w:bookmarkStart w:id="0" w:name="_Hlk125024468"/>
      <w:bookmarkEnd w:id="0"/>
      <w:r w:rsidRPr="00760D45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54139695" wp14:editId="18333316">
            <wp:extent cx="5734050" cy="1860993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86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168EF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E3834D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30D8B9" w14:textId="77777777" w:rsidR="008E6779" w:rsidRPr="00760D45" w:rsidRDefault="008E6779" w:rsidP="00C779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6EA14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0D45">
        <w:rPr>
          <w:rFonts w:ascii="Times New Roman" w:hAnsi="Times New Roman" w:cs="Times New Roman"/>
          <w:sz w:val="24"/>
          <w:szCs w:val="24"/>
        </w:rPr>
        <w:t>KORPORATA ELEKTROENERGJETIKE SHQIPTARE</w:t>
      </w:r>
    </w:p>
    <w:p w14:paraId="207ED5F0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E220DE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0D45">
        <w:rPr>
          <w:rFonts w:ascii="Times New Roman" w:hAnsi="Times New Roman" w:cs="Times New Roman"/>
          <w:sz w:val="24"/>
          <w:szCs w:val="24"/>
        </w:rPr>
        <w:t>GRUPI I PUNËS</w:t>
      </w:r>
    </w:p>
    <w:p w14:paraId="4A13C5D5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994668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2EEF4D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9F4FFD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CC6FC8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E92173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B511CB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786A7F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59A4422" w14:textId="3EEA8052" w:rsidR="008E6779" w:rsidRPr="00760D45" w:rsidRDefault="000E582B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E582B">
        <w:rPr>
          <w:rFonts w:ascii="Times New Roman" w:hAnsi="Times New Roman" w:cs="Times New Roman"/>
          <w:sz w:val="24"/>
          <w:szCs w:val="24"/>
        </w:rPr>
        <w:t xml:space="preserve">TERMAT E REFERENCËS, KRITERET E KUALIFIKIMIT DHE </w:t>
      </w:r>
      <w:r w:rsidR="008E6779" w:rsidRPr="00760D45">
        <w:rPr>
          <w:rFonts w:ascii="Times New Roman" w:hAnsi="Times New Roman" w:cs="Times New Roman"/>
          <w:sz w:val="24"/>
          <w:szCs w:val="24"/>
        </w:rPr>
        <w:t>SPECIFIKIME</w:t>
      </w:r>
      <w:r>
        <w:rPr>
          <w:rFonts w:ascii="Times New Roman" w:hAnsi="Times New Roman" w:cs="Times New Roman"/>
          <w:sz w:val="24"/>
          <w:szCs w:val="24"/>
        </w:rPr>
        <w:t>T</w:t>
      </w:r>
      <w:r w:rsidR="008E6779" w:rsidRPr="00760D45">
        <w:rPr>
          <w:rFonts w:ascii="Times New Roman" w:hAnsi="Times New Roman" w:cs="Times New Roman"/>
          <w:sz w:val="24"/>
          <w:szCs w:val="24"/>
        </w:rPr>
        <w:t xml:space="preserve"> TEKNIKE</w:t>
      </w:r>
      <w:r>
        <w:rPr>
          <w:rFonts w:ascii="Times New Roman" w:hAnsi="Times New Roman" w:cs="Times New Roman"/>
          <w:sz w:val="24"/>
          <w:szCs w:val="24"/>
        </w:rPr>
        <w:t xml:space="preserve"> PËR:</w:t>
      </w:r>
    </w:p>
    <w:p w14:paraId="3E7CD2A2" w14:textId="6EB26CFF" w:rsidR="008E6779" w:rsidRPr="00B11879" w:rsidRDefault="001E31BD" w:rsidP="00C7793D">
      <w:pPr>
        <w:spacing w:line="276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11879" w:rsidDel="001E31B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E6779" w:rsidRPr="00B11879">
        <w:rPr>
          <w:rFonts w:ascii="Times New Roman" w:eastAsiaTheme="majorEastAsia" w:hAnsi="Times New Roman" w:cs="Times New Roman"/>
          <w:b/>
          <w:i/>
          <w:iCs/>
          <w:smallCaps/>
          <w:spacing w:val="-10"/>
          <w:kern w:val="28"/>
          <w:sz w:val="24"/>
          <w:szCs w:val="24"/>
        </w:rPr>
        <w:t>“</w:t>
      </w:r>
      <w:r w:rsidR="000E582B" w:rsidRPr="000E582B">
        <w:rPr>
          <w:rFonts w:ascii="Times New Roman" w:eastAsiaTheme="majorEastAsia" w:hAnsi="Times New Roman" w:cs="Times New Roman"/>
          <w:b/>
          <w:i/>
          <w:iCs/>
          <w:smallCaps/>
          <w:spacing w:val="-10"/>
          <w:kern w:val="28"/>
          <w:sz w:val="24"/>
          <w:szCs w:val="24"/>
        </w:rPr>
        <w:t>FURNIZIMIN ME LËNDË DJEGËSE TË ASETEVE TERMIKE LUNDRUESE, VLORË, PRANË LA PETROLIFERA ITALO ALBANESE SHA</w:t>
      </w:r>
      <w:r w:rsidR="008E6779" w:rsidRPr="00B11879">
        <w:rPr>
          <w:rFonts w:ascii="Times New Roman" w:eastAsiaTheme="majorEastAsia" w:hAnsi="Times New Roman" w:cs="Times New Roman"/>
          <w:b/>
          <w:i/>
          <w:iCs/>
          <w:smallCaps/>
          <w:spacing w:val="-10"/>
          <w:kern w:val="28"/>
          <w:sz w:val="24"/>
          <w:szCs w:val="24"/>
        </w:rPr>
        <w:t>”</w:t>
      </w:r>
    </w:p>
    <w:p w14:paraId="55A9594E" w14:textId="77777777" w:rsidR="008E6779" w:rsidRPr="00760D45" w:rsidRDefault="008E6779" w:rsidP="00C7793D">
      <w:pPr>
        <w:shd w:val="clear" w:color="auto" w:fill="FFFFFF"/>
        <w:tabs>
          <w:tab w:val="left" w:pos="924"/>
        </w:tabs>
        <w:spacing w:after="120" w:line="276" w:lineRule="auto"/>
        <w:ind w:left="-288"/>
        <w:jc w:val="center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CD3F7FA" w14:textId="77777777" w:rsidR="008E6779" w:rsidRPr="00760D45" w:rsidRDefault="008E6779" w:rsidP="00C7793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D0836" w14:textId="77777777" w:rsidR="008E6779" w:rsidRPr="00760D45" w:rsidRDefault="008E6779" w:rsidP="00C779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0EA05" w14:textId="77777777" w:rsidR="008E6779" w:rsidRPr="00760D45" w:rsidRDefault="008E6779" w:rsidP="00C779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E7297" w14:textId="77777777" w:rsidR="008E6779" w:rsidRPr="00760D45" w:rsidRDefault="008E6779" w:rsidP="00C779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F1492" w14:textId="00EAFD83" w:rsidR="008E6779" w:rsidRPr="00760D45" w:rsidRDefault="008E6779" w:rsidP="00C779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0975C" w14:textId="539B83BB" w:rsidR="008E6779" w:rsidRPr="00760D45" w:rsidRDefault="008E6779" w:rsidP="00C779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97893" w14:textId="77777777" w:rsidR="008E6779" w:rsidRPr="00760D45" w:rsidRDefault="008E6779" w:rsidP="00C779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0D108" w14:textId="48BE3DA1" w:rsidR="002D34F7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0D45">
        <w:rPr>
          <w:rFonts w:ascii="Times New Roman" w:hAnsi="Times New Roman" w:cs="Times New Roman"/>
          <w:sz w:val="24"/>
          <w:szCs w:val="24"/>
        </w:rPr>
        <w:t>Tiranë 202</w:t>
      </w:r>
      <w:r w:rsidR="00EB5DF4">
        <w:rPr>
          <w:rFonts w:ascii="Times New Roman" w:hAnsi="Times New Roman" w:cs="Times New Roman"/>
          <w:sz w:val="24"/>
          <w:szCs w:val="24"/>
        </w:rPr>
        <w:t>5</w:t>
      </w:r>
    </w:p>
    <w:p w14:paraId="2593B12C" w14:textId="77777777" w:rsidR="00681A14" w:rsidRDefault="00681A14" w:rsidP="00C7793D">
      <w:pPr>
        <w:spacing w:after="360" w:line="276" w:lineRule="auto"/>
        <w:jc w:val="both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</w:p>
    <w:p w14:paraId="2B001180" w14:textId="4FE52A46" w:rsidR="00320498" w:rsidRPr="00760D45" w:rsidRDefault="00320498" w:rsidP="00C7793D">
      <w:pPr>
        <w:spacing w:after="360" w:line="276" w:lineRule="auto"/>
        <w:jc w:val="both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760D45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Përmbajtja</w:t>
      </w:r>
    </w:p>
    <w:p w14:paraId="745F27D5" w14:textId="6BEC4275" w:rsidR="00061437" w:rsidRPr="00760D45" w:rsidRDefault="00320498">
      <w:pPr>
        <w:pStyle w:val="TOC1"/>
        <w:rPr>
          <w:rFonts w:asciiTheme="minorHAnsi" w:eastAsiaTheme="minorEastAsia" w:hAnsiTheme="minorHAnsi" w:cstheme="minorBidi"/>
          <w:b w:val="0"/>
          <w:bCs w:val="0"/>
          <w:smallCaps w:val="0"/>
          <w:noProof w:val="0"/>
          <w:sz w:val="22"/>
          <w:szCs w:val="22"/>
          <w:lang w:val="sq-AL" w:eastAsia="en-US"/>
        </w:rPr>
      </w:pPr>
      <w:r w:rsidRPr="00760D45">
        <w:rPr>
          <w:rFonts w:ascii="Times New Roman" w:hAnsi="Times New Roman" w:cs="Times New Roman"/>
          <w:noProof w:val="0"/>
          <w:lang w:val="sq-AL" w:eastAsia="en-US"/>
        </w:rPr>
        <w:fldChar w:fldCharType="begin"/>
      </w:r>
      <w:r w:rsidRPr="00760D45">
        <w:rPr>
          <w:rFonts w:ascii="Times New Roman" w:hAnsi="Times New Roman" w:cs="Times New Roman"/>
          <w:noProof w:val="0"/>
          <w:lang w:val="sq-AL" w:eastAsia="en-US"/>
        </w:rPr>
        <w:instrText xml:space="preserve"> TOC \o "1-3" \h \z \u </w:instrText>
      </w:r>
      <w:r w:rsidRPr="00760D45">
        <w:rPr>
          <w:rFonts w:ascii="Times New Roman" w:hAnsi="Times New Roman" w:cs="Times New Roman"/>
          <w:noProof w:val="0"/>
          <w:lang w:val="sq-AL" w:eastAsia="en-US"/>
        </w:rPr>
        <w:fldChar w:fldCharType="separate"/>
      </w:r>
      <w:hyperlink w:anchor="_Toc146539128" w:history="1">
        <w:r w:rsidR="00061437" w:rsidRPr="00760D45">
          <w:rPr>
            <w:rStyle w:val="Hyperlink"/>
            <w:rFonts w:eastAsia="MS Mincho" w:cs="Times New Roman"/>
            <w:noProof w:val="0"/>
            <w:lang w:val="sq-AL"/>
          </w:rPr>
          <w:t>1.</w:t>
        </w:r>
        <w:r w:rsidR="00061437" w:rsidRPr="00760D45">
          <w:rPr>
            <w:rFonts w:asciiTheme="minorHAnsi" w:eastAsiaTheme="minorEastAsia" w:hAnsiTheme="minorHAnsi" w:cstheme="minorBidi"/>
            <w:b w:val="0"/>
            <w:bCs w:val="0"/>
            <w:smallCaps w:val="0"/>
            <w:noProof w:val="0"/>
            <w:sz w:val="22"/>
            <w:szCs w:val="22"/>
            <w:lang w:val="sq-AL" w:eastAsia="en-US"/>
          </w:rPr>
          <w:tab/>
        </w:r>
        <w:r w:rsidR="00061437" w:rsidRPr="00760D45">
          <w:rPr>
            <w:rStyle w:val="Hyperlink"/>
            <w:noProof w:val="0"/>
            <w:lang w:val="sq-AL"/>
          </w:rPr>
          <w:t>HYRJE</w:t>
        </w:r>
        <w:r w:rsidR="00061437" w:rsidRPr="00760D45">
          <w:rPr>
            <w:noProof w:val="0"/>
            <w:webHidden/>
            <w:lang w:val="sq-AL"/>
          </w:rPr>
          <w:tab/>
        </w:r>
      </w:hyperlink>
    </w:p>
    <w:p w14:paraId="018808CC" w14:textId="61BE75D1" w:rsidR="00061437" w:rsidRPr="00760D45" w:rsidRDefault="00D66E55">
      <w:pPr>
        <w:pStyle w:val="TOC1"/>
        <w:rPr>
          <w:rFonts w:asciiTheme="minorHAnsi" w:eastAsiaTheme="minorEastAsia" w:hAnsiTheme="minorHAnsi" w:cstheme="minorBidi"/>
          <w:b w:val="0"/>
          <w:bCs w:val="0"/>
          <w:smallCaps w:val="0"/>
          <w:noProof w:val="0"/>
          <w:sz w:val="22"/>
          <w:szCs w:val="22"/>
          <w:lang w:val="sq-AL" w:eastAsia="en-US"/>
        </w:rPr>
      </w:pPr>
      <w:hyperlink w:anchor="_Toc146539129" w:history="1">
        <w:r w:rsidR="00061437" w:rsidRPr="00760D45">
          <w:rPr>
            <w:rStyle w:val="Hyperlink"/>
            <w:rFonts w:eastAsia="MS Mincho" w:cs="Times New Roman"/>
            <w:noProof w:val="0"/>
            <w:lang w:val="sq-AL"/>
          </w:rPr>
          <w:t>2.</w:t>
        </w:r>
        <w:r w:rsidR="00061437" w:rsidRPr="00760D45">
          <w:rPr>
            <w:rFonts w:asciiTheme="minorHAnsi" w:eastAsiaTheme="minorEastAsia" w:hAnsiTheme="minorHAnsi" w:cstheme="minorBidi"/>
            <w:b w:val="0"/>
            <w:bCs w:val="0"/>
            <w:smallCaps w:val="0"/>
            <w:noProof w:val="0"/>
            <w:sz w:val="22"/>
            <w:szCs w:val="22"/>
            <w:lang w:val="sq-AL" w:eastAsia="en-US"/>
          </w:rPr>
          <w:tab/>
        </w:r>
        <w:r w:rsidR="00061437" w:rsidRPr="00760D45">
          <w:rPr>
            <w:rStyle w:val="Hyperlink"/>
            <w:noProof w:val="0"/>
            <w:lang w:val="sq-AL"/>
          </w:rPr>
          <w:t>PËRSHKRIMI I NEVOJËS</w:t>
        </w:r>
        <w:r w:rsidR="00061437" w:rsidRPr="00760D45">
          <w:rPr>
            <w:noProof w:val="0"/>
            <w:webHidden/>
            <w:lang w:val="sq-AL"/>
          </w:rPr>
          <w:tab/>
        </w:r>
      </w:hyperlink>
    </w:p>
    <w:p w14:paraId="5AC63BAC" w14:textId="62BAC1BE" w:rsidR="00061437" w:rsidRPr="00760D45" w:rsidRDefault="00D66E55">
      <w:pPr>
        <w:pStyle w:val="TOC1"/>
        <w:rPr>
          <w:rFonts w:asciiTheme="minorHAnsi" w:eastAsiaTheme="minorEastAsia" w:hAnsiTheme="minorHAnsi" w:cstheme="minorBidi"/>
          <w:b w:val="0"/>
          <w:bCs w:val="0"/>
          <w:smallCaps w:val="0"/>
          <w:noProof w:val="0"/>
          <w:sz w:val="22"/>
          <w:szCs w:val="22"/>
          <w:lang w:val="sq-AL" w:eastAsia="en-US"/>
        </w:rPr>
      </w:pPr>
      <w:hyperlink w:anchor="_Toc146539130" w:history="1">
        <w:r w:rsidR="00061437" w:rsidRPr="00760D45">
          <w:rPr>
            <w:rStyle w:val="Hyperlink"/>
            <w:rFonts w:eastAsia="MS Mincho" w:cs="Times New Roman"/>
            <w:noProof w:val="0"/>
            <w:lang w:val="sq-AL"/>
          </w:rPr>
          <w:t>3.</w:t>
        </w:r>
        <w:r w:rsidR="00061437" w:rsidRPr="00760D45">
          <w:rPr>
            <w:rFonts w:asciiTheme="minorHAnsi" w:eastAsiaTheme="minorEastAsia" w:hAnsiTheme="minorHAnsi" w:cstheme="minorBidi"/>
            <w:b w:val="0"/>
            <w:bCs w:val="0"/>
            <w:smallCaps w:val="0"/>
            <w:noProof w:val="0"/>
            <w:sz w:val="22"/>
            <w:szCs w:val="22"/>
            <w:lang w:val="sq-AL" w:eastAsia="en-US"/>
          </w:rPr>
          <w:tab/>
        </w:r>
        <w:r w:rsidR="00061437" w:rsidRPr="00760D45">
          <w:rPr>
            <w:rStyle w:val="Hyperlink"/>
            <w:noProof w:val="0"/>
            <w:lang w:val="sq-AL"/>
          </w:rPr>
          <w:t>LËNDA DJEGËSE DHE VENDODHJA E FURNIZIMIT</w:t>
        </w:r>
        <w:r w:rsidR="00061437" w:rsidRPr="00760D45">
          <w:rPr>
            <w:noProof w:val="0"/>
            <w:webHidden/>
            <w:lang w:val="sq-AL"/>
          </w:rPr>
          <w:tab/>
        </w:r>
      </w:hyperlink>
    </w:p>
    <w:p w14:paraId="01EC0CDB" w14:textId="31A788AA" w:rsidR="00061437" w:rsidRPr="00760D45" w:rsidRDefault="00D66E55">
      <w:pPr>
        <w:pStyle w:val="TOC1"/>
        <w:rPr>
          <w:rFonts w:asciiTheme="minorHAnsi" w:eastAsiaTheme="minorEastAsia" w:hAnsiTheme="minorHAnsi" w:cstheme="minorBidi"/>
          <w:b w:val="0"/>
          <w:bCs w:val="0"/>
          <w:smallCaps w:val="0"/>
          <w:noProof w:val="0"/>
          <w:sz w:val="22"/>
          <w:szCs w:val="22"/>
          <w:lang w:val="sq-AL" w:eastAsia="en-US"/>
        </w:rPr>
      </w:pPr>
      <w:hyperlink w:anchor="_Toc146539131" w:history="1">
        <w:r w:rsidR="00061437" w:rsidRPr="00760D45">
          <w:rPr>
            <w:rStyle w:val="Hyperlink"/>
            <w:rFonts w:eastAsia="MS Mincho" w:cs="Times New Roman"/>
            <w:noProof w:val="0"/>
            <w:lang w:val="sq-AL"/>
          </w:rPr>
          <w:t>4.</w:t>
        </w:r>
        <w:r w:rsidR="00061437" w:rsidRPr="00760D45">
          <w:rPr>
            <w:rFonts w:asciiTheme="minorHAnsi" w:eastAsiaTheme="minorEastAsia" w:hAnsiTheme="minorHAnsi" w:cstheme="minorBidi"/>
            <w:b w:val="0"/>
            <w:bCs w:val="0"/>
            <w:smallCaps w:val="0"/>
            <w:noProof w:val="0"/>
            <w:sz w:val="22"/>
            <w:szCs w:val="22"/>
            <w:lang w:val="sq-AL" w:eastAsia="en-US"/>
          </w:rPr>
          <w:tab/>
        </w:r>
        <w:r w:rsidR="00061437" w:rsidRPr="00760D45">
          <w:rPr>
            <w:rStyle w:val="Hyperlink"/>
            <w:noProof w:val="0"/>
            <w:lang w:val="sq-AL"/>
          </w:rPr>
          <w:t>LIDHJA DHE KOHËZGJATJA E KONTRATËS</w:t>
        </w:r>
        <w:r w:rsidR="00061437" w:rsidRPr="00760D45">
          <w:rPr>
            <w:noProof w:val="0"/>
            <w:webHidden/>
            <w:lang w:val="sq-AL"/>
          </w:rPr>
          <w:tab/>
        </w:r>
      </w:hyperlink>
    </w:p>
    <w:p w14:paraId="780E01DD" w14:textId="4BCF7434" w:rsidR="00061437" w:rsidRPr="00760D45" w:rsidRDefault="00D66E55">
      <w:pPr>
        <w:pStyle w:val="TOC1"/>
        <w:rPr>
          <w:rFonts w:asciiTheme="minorHAnsi" w:eastAsiaTheme="minorEastAsia" w:hAnsiTheme="minorHAnsi" w:cstheme="minorBidi"/>
          <w:b w:val="0"/>
          <w:bCs w:val="0"/>
          <w:smallCaps w:val="0"/>
          <w:noProof w:val="0"/>
          <w:sz w:val="22"/>
          <w:szCs w:val="22"/>
          <w:lang w:val="sq-AL" w:eastAsia="en-US"/>
        </w:rPr>
      </w:pPr>
      <w:hyperlink w:anchor="_Toc146539133" w:history="1">
        <w:r w:rsidR="00061437" w:rsidRPr="00760D45">
          <w:rPr>
            <w:rStyle w:val="Hyperlink"/>
            <w:rFonts w:eastAsia="MS Mincho" w:cs="Times New Roman"/>
            <w:noProof w:val="0"/>
            <w:lang w:val="sq-AL"/>
          </w:rPr>
          <w:t>5.</w:t>
        </w:r>
        <w:r w:rsidR="00061437" w:rsidRPr="00760D45">
          <w:rPr>
            <w:rFonts w:asciiTheme="minorHAnsi" w:eastAsiaTheme="minorEastAsia" w:hAnsiTheme="minorHAnsi" w:cstheme="minorBidi"/>
            <w:b w:val="0"/>
            <w:bCs w:val="0"/>
            <w:smallCaps w:val="0"/>
            <w:noProof w:val="0"/>
            <w:sz w:val="22"/>
            <w:szCs w:val="22"/>
            <w:lang w:val="sq-AL" w:eastAsia="en-US"/>
          </w:rPr>
          <w:tab/>
        </w:r>
        <w:r w:rsidR="00074027" w:rsidRPr="00074027">
          <w:rPr>
            <w:rStyle w:val="Hyperlink"/>
            <w:noProof w:val="0"/>
            <w:lang w:val="sq-AL"/>
          </w:rPr>
          <w:t>DETYRIMET E PËRGJITHSHME TË OPERATORIT FITUES</w:t>
        </w:r>
        <w:r w:rsidR="00061437" w:rsidRPr="00760D45">
          <w:rPr>
            <w:noProof w:val="0"/>
            <w:webHidden/>
            <w:lang w:val="sq-AL"/>
          </w:rPr>
          <w:tab/>
        </w:r>
      </w:hyperlink>
    </w:p>
    <w:p w14:paraId="2969DAAE" w14:textId="0A0398DC" w:rsidR="00061437" w:rsidRPr="00760D45" w:rsidRDefault="00D66E55" w:rsidP="00074027">
      <w:pPr>
        <w:pStyle w:val="TOC1"/>
        <w:rPr>
          <w:rFonts w:asciiTheme="minorHAnsi" w:eastAsiaTheme="minorEastAsia" w:hAnsiTheme="minorHAnsi" w:cstheme="minorBidi"/>
          <w:smallCaps w:val="0"/>
          <w:noProof w:val="0"/>
          <w:sz w:val="22"/>
          <w:szCs w:val="22"/>
          <w:lang w:val="sq-AL" w:eastAsia="en-US"/>
        </w:rPr>
      </w:pPr>
      <w:hyperlink w:anchor="_Toc146539134" w:history="1">
        <w:r w:rsidR="00074027" w:rsidRPr="00074027">
          <w:rPr>
            <w:rStyle w:val="Hyperlink"/>
            <w:rFonts w:eastAsia="MS Mincho" w:cs="Times New Roman"/>
            <w:noProof w:val="0"/>
            <w:lang w:val="sq-AL"/>
          </w:rPr>
          <w:t>6.</w:t>
        </w:r>
        <w:r w:rsidR="00074027" w:rsidRPr="00074027">
          <w:rPr>
            <w:rStyle w:val="Hyperlink"/>
            <w:rFonts w:eastAsia="MS Mincho" w:cs="Times New Roman"/>
            <w:noProof w:val="0"/>
            <w:lang w:val="sq-AL"/>
          </w:rPr>
          <w:tab/>
          <w:t>MËNYRA E OFERTIMIT, SASITË DHE SKEDULI I NGARKESËS</w:t>
        </w:r>
        <w:r w:rsidR="00061437" w:rsidRPr="00760D45">
          <w:rPr>
            <w:noProof w:val="0"/>
            <w:webHidden/>
            <w:lang w:val="sq-AL"/>
          </w:rPr>
          <w:tab/>
        </w:r>
      </w:hyperlink>
    </w:p>
    <w:p w14:paraId="5CF70CB1" w14:textId="590CF72B" w:rsidR="00061437" w:rsidRPr="00760D45" w:rsidRDefault="00D66E55">
      <w:pPr>
        <w:pStyle w:val="TOC2"/>
        <w:rPr>
          <w:rFonts w:asciiTheme="minorHAnsi" w:eastAsiaTheme="minorEastAsia" w:hAnsiTheme="minorHAnsi" w:cstheme="minorBidi"/>
          <w:smallCaps w:val="0"/>
          <w:noProof w:val="0"/>
          <w:sz w:val="22"/>
          <w:szCs w:val="22"/>
          <w:lang w:val="sq-AL" w:eastAsia="en-US"/>
        </w:rPr>
      </w:pPr>
      <w:hyperlink w:anchor="_Toc146539136" w:history="1">
        <w:r w:rsidR="00074027" w:rsidRPr="00074027">
          <w:rPr>
            <w:rStyle w:val="Hyperlink"/>
            <w:noProof w:val="0"/>
            <w:lang w:val="sq-AL"/>
          </w:rPr>
          <w:t>6.1.Kushtet e Shërbimit</w:t>
        </w:r>
        <w:r w:rsidR="00061437" w:rsidRPr="00760D45">
          <w:rPr>
            <w:noProof w:val="0"/>
            <w:webHidden/>
            <w:lang w:val="sq-AL"/>
          </w:rPr>
          <w:tab/>
        </w:r>
      </w:hyperlink>
    </w:p>
    <w:p w14:paraId="0CAEC715" w14:textId="7930E52E" w:rsidR="00061437" w:rsidRDefault="00D66E55">
      <w:pPr>
        <w:pStyle w:val="TOC1"/>
        <w:rPr>
          <w:noProof w:val="0"/>
          <w:lang w:val="sq-AL"/>
        </w:rPr>
      </w:pPr>
      <w:hyperlink w:anchor="_Toc146539137" w:history="1">
        <w:r w:rsidR="00061437" w:rsidRPr="00760D45">
          <w:rPr>
            <w:rStyle w:val="Hyperlink"/>
            <w:rFonts w:eastAsia="MS Mincho" w:cs="Times New Roman"/>
            <w:noProof w:val="0"/>
            <w:lang w:val="sq-AL"/>
          </w:rPr>
          <w:t>7.</w:t>
        </w:r>
        <w:r w:rsidR="00061437" w:rsidRPr="00760D45">
          <w:rPr>
            <w:rFonts w:asciiTheme="minorHAnsi" w:eastAsiaTheme="minorEastAsia" w:hAnsiTheme="minorHAnsi" w:cstheme="minorBidi"/>
            <w:b w:val="0"/>
            <w:bCs w:val="0"/>
            <w:smallCaps w:val="0"/>
            <w:noProof w:val="0"/>
            <w:sz w:val="22"/>
            <w:szCs w:val="22"/>
            <w:lang w:val="sq-AL" w:eastAsia="en-US"/>
          </w:rPr>
          <w:tab/>
        </w:r>
        <w:r w:rsidR="00074027">
          <w:rPr>
            <w:rStyle w:val="Hyperlink"/>
            <w:noProof w:val="0"/>
            <w:lang w:val="sq-AL"/>
          </w:rPr>
          <w:t>QëLLIMI</w:t>
        </w:r>
        <w:r w:rsidR="00061437" w:rsidRPr="00760D45">
          <w:rPr>
            <w:noProof w:val="0"/>
            <w:webHidden/>
            <w:lang w:val="sq-AL"/>
          </w:rPr>
          <w:tab/>
        </w:r>
      </w:hyperlink>
    </w:p>
    <w:p w14:paraId="63D5037B" w14:textId="7258B97D" w:rsidR="00074027" w:rsidRDefault="00074027" w:rsidP="00074027">
      <w:pPr>
        <w:rPr>
          <w:rFonts w:eastAsiaTheme="minorEastAsia"/>
          <w:lang w:eastAsia="en-GB"/>
        </w:rPr>
      </w:pPr>
      <w:r>
        <w:rPr>
          <w:rFonts w:eastAsiaTheme="minorEastAsia"/>
          <w:lang w:eastAsia="en-GB"/>
        </w:rPr>
        <w:tab/>
      </w:r>
      <w:r w:rsidR="00916DB0">
        <w:rPr>
          <w:rFonts w:eastAsiaTheme="minorEastAsia"/>
          <w:lang w:eastAsia="en-GB"/>
        </w:rPr>
        <w:t>7.1 Karakteristikat e shërbimit</w:t>
      </w:r>
    </w:p>
    <w:p w14:paraId="50D0D483" w14:textId="653DD824" w:rsidR="00916DB0" w:rsidRPr="00074027" w:rsidRDefault="00916DB0" w:rsidP="00074027">
      <w:pPr>
        <w:rPr>
          <w:rFonts w:eastAsiaTheme="minorEastAsia"/>
          <w:lang w:eastAsia="en-GB"/>
        </w:rPr>
      </w:pPr>
      <w:r>
        <w:rPr>
          <w:rFonts w:eastAsiaTheme="minorEastAsia"/>
          <w:lang w:eastAsia="en-GB"/>
        </w:rPr>
        <w:tab/>
        <w:t>7.2 Forma e ofrimit e kërkuar</w:t>
      </w:r>
    </w:p>
    <w:p w14:paraId="28182FDF" w14:textId="70AC2151" w:rsidR="00061437" w:rsidRPr="00760D45" w:rsidRDefault="00D66E55">
      <w:pPr>
        <w:pStyle w:val="TOC1"/>
        <w:rPr>
          <w:rFonts w:asciiTheme="minorHAnsi" w:eastAsiaTheme="minorEastAsia" w:hAnsiTheme="minorHAnsi" w:cstheme="minorBidi"/>
          <w:b w:val="0"/>
          <w:bCs w:val="0"/>
          <w:smallCaps w:val="0"/>
          <w:noProof w:val="0"/>
          <w:sz w:val="22"/>
          <w:szCs w:val="22"/>
          <w:lang w:val="sq-AL" w:eastAsia="en-US"/>
        </w:rPr>
      </w:pPr>
      <w:hyperlink w:anchor="_Toc146539138" w:history="1">
        <w:r w:rsidR="00061437" w:rsidRPr="00760D45">
          <w:rPr>
            <w:rStyle w:val="Hyperlink"/>
            <w:rFonts w:eastAsia="MS Mincho" w:cs="Times New Roman"/>
            <w:noProof w:val="0"/>
            <w:lang w:val="sq-AL"/>
          </w:rPr>
          <w:t>8.</w:t>
        </w:r>
        <w:r w:rsidR="00061437" w:rsidRPr="00760D45">
          <w:rPr>
            <w:rFonts w:asciiTheme="minorHAnsi" w:eastAsiaTheme="minorEastAsia" w:hAnsiTheme="minorHAnsi" w:cstheme="minorBidi"/>
            <w:b w:val="0"/>
            <w:bCs w:val="0"/>
            <w:smallCaps w:val="0"/>
            <w:noProof w:val="0"/>
            <w:sz w:val="22"/>
            <w:szCs w:val="22"/>
            <w:lang w:val="sq-AL" w:eastAsia="en-US"/>
          </w:rPr>
          <w:tab/>
        </w:r>
        <w:r w:rsidR="00061437" w:rsidRPr="00760D45">
          <w:rPr>
            <w:rStyle w:val="Hyperlink"/>
            <w:noProof w:val="0"/>
            <w:lang w:val="sq-AL"/>
          </w:rPr>
          <w:t>Dokumentacioni TEKNIK</w:t>
        </w:r>
        <w:r w:rsidR="00061437" w:rsidRPr="00760D45">
          <w:rPr>
            <w:noProof w:val="0"/>
            <w:webHidden/>
            <w:lang w:val="sq-AL"/>
          </w:rPr>
          <w:tab/>
        </w:r>
      </w:hyperlink>
    </w:p>
    <w:p w14:paraId="3DF868F0" w14:textId="42F13D2D" w:rsidR="00ED5CD4" w:rsidRPr="00760D45" w:rsidRDefault="00320498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  <w:r w:rsidRPr="00760D4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DDE9F64" w14:textId="77777777" w:rsidR="00ED5CD4" w:rsidRPr="00760D45" w:rsidRDefault="00ED5CD4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6095C838" w14:textId="77777777" w:rsidR="00ED5CD4" w:rsidRPr="00760D45" w:rsidRDefault="00ED5CD4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6D2F0726" w14:textId="77777777" w:rsidR="00ED5CD4" w:rsidRPr="00760D45" w:rsidRDefault="00ED5CD4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403231D8" w14:textId="77777777" w:rsidR="00ED5CD4" w:rsidRPr="00760D45" w:rsidRDefault="00ED5CD4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60AEFAD1" w14:textId="77777777" w:rsidR="00ED5CD4" w:rsidRPr="00760D45" w:rsidRDefault="00ED5CD4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33D90B7A" w14:textId="77777777" w:rsidR="00ED5CD4" w:rsidRPr="00760D45" w:rsidRDefault="00ED5CD4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289A2236" w14:textId="77777777" w:rsidR="00ED5CD4" w:rsidRPr="00760D45" w:rsidRDefault="00ED5CD4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3C1F31C2" w14:textId="77777777" w:rsidR="00EC5CFD" w:rsidRPr="00760D45" w:rsidRDefault="00EC5CFD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13C4A58A" w14:textId="77777777" w:rsidR="00EC5CFD" w:rsidRPr="00760D45" w:rsidRDefault="00EC5CFD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7A0F4C3D" w14:textId="77777777" w:rsidR="00EC5CFD" w:rsidRPr="00760D45" w:rsidRDefault="00EC5CFD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37ECA756" w14:textId="77777777" w:rsidR="00EC5CFD" w:rsidRPr="00760D45" w:rsidRDefault="00EC5CFD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0CDC6CBB" w14:textId="77777777" w:rsidR="00EC5CFD" w:rsidRPr="00760D45" w:rsidRDefault="00EC5CFD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7F43F747" w14:textId="77777777" w:rsidR="000B3768" w:rsidRPr="00760D45" w:rsidRDefault="000B3768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6D726B95" w14:textId="77777777" w:rsidR="000B3768" w:rsidRPr="00760D45" w:rsidRDefault="000B3768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599618A8" w14:textId="77777777" w:rsidR="00EC5CFD" w:rsidRPr="00760D45" w:rsidRDefault="00EC5CFD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6E3CC3AA" w14:textId="77777777" w:rsidR="00EC5CFD" w:rsidRPr="00760D45" w:rsidRDefault="00EC5CFD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2C2B3A69" w14:textId="77777777" w:rsidR="00066522" w:rsidRPr="00760D45" w:rsidRDefault="00066522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116C861E" w14:textId="77777777" w:rsidR="00EC5CFD" w:rsidRPr="00760D45" w:rsidRDefault="00EC5CFD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2CFB285E" w14:textId="77777777" w:rsidR="008E6779" w:rsidRPr="004F488D" w:rsidRDefault="008E6779" w:rsidP="0056008C">
      <w:pPr>
        <w:pStyle w:val="Heading1"/>
        <w:rPr>
          <w:rFonts w:eastAsia="Times New Roman"/>
          <w:color w:val="auto"/>
        </w:rPr>
      </w:pPr>
      <w:bookmarkStart w:id="1" w:name="_Toc146539128"/>
      <w:r w:rsidRPr="004F488D">
        <w:rPr>
          <w:rFonts w:eastAsia="Times New Roman"/>
          <w:color w:val="auto"/>
        </w:rPr>
        <w:t>HYRJE</w:t>
      </w:r>
      <w:bookmarkEnd w:id="1"/>
    </w:p>
    <w:p w14:paraId="3A4878AA" w14:textId="5390D707" w:rsidR="008E6779" w:rsidRPr="004F488D" w:rsidRDefault="002D0C1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Këto specifikime teknike përfshijnë kërkesat për blerjen e një sasie lëndë djegëse, që do të dorëzohet pranë PIA me qëllim furnizimin e TEC-ve Lundrues me adresë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Triport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, Vlorë, në përdorim të shoqërisë KESH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sh.a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49D56C" w14:textId="77777777" w:rsidR="008E6779" w:rsidRPr="004F488D" w:rsidRDefault="008E6779" w:rsidP="0056008C">
      <w:pPr>
        <w:pStyle w:val="Heading1"/>
        <w:rPr>
          <w:rFonts w:eastAsia="Times New Roman"/>
          <w:color w:val="auto"/>
        </w:rPr>
      </w:pPr>
      <w:bookmarkStart w:id="2" w:name="_Toc146539129"/>
      <w:r w:rsidRPr="004F488D">
        <w:rPr>
          <w:rFonts w:eastAsia="Times New Roman"/>
          <w:color w:val="auto"/>
        </w:rPr>
        <w:t>PËRSHKRIMI I NEVOJËS</w:t>
      </w:r>
      <w:bookmarkEnd w:id="2"/>
    </w:p>
    <w:p w14:paraId="708D4488" w14:textId="77777777" w:rsidR="008E6779" w:rsidRPr="004F488D" w:rsidRDefault="008E677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>KESH është kompania më e madhe e prodhimit të energjisë elektrike në Shqipëri, që operon hidrocentralet më të rëndësishme në vend dhe mbulon rreth 70-75% të kërkesës për konsum.</w:t>
      </w:r>
    </w:p>
    <w:p w14:paraId="768B0D5D" w14:textId="77777777" w:rsidR="008E6779" w:rsidRPr="004F488D" w:rsidRDefault="008E677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>KESH është gjithashtu një furnizues i shërbimeve të sistemit për rrjetin shqiptar, si mbulimi i humbjeve nga rrjeti i transmetimit apo balancimi i energjisë.</w:t>
      </w:r>
    </w:p>
    <w:p w14:paraId="4F8CA1A5" w14:textId="77777777" w:rsidR="008E6779" w:rsidRPr="004F488D" w:rsidRDefault="008E677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Nëpërmjet VKM Nr. 757, datë 21 Dhjetor 2021, për “Disa ndryshime në VKM Nr. 620, datë 22 Tetor 2021”, nëpërmjet të cilit Qeveria e Shqipërisë autorizon KESH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sh.a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., që në përputhje me nevojat dhe mundësitë që do të paraqiten, t`i drejtohet tregut ndërkombëtar për të marrë përkohësisht (1-2 vjet) me qira,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asete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gjeneruese termike shtesë, të cilat mund të instalohen dhe lidhen lehtësisht me Rrjetin e Transmetimit të Energjisë në Shqipëri.</w:t>
      </w:r>
    </w:p>
    <w:p w14:paraId="61221054" w14:textId="431522B6" w:rsidR="008E6779" w:rsidRPr="004F488D" w:rsidRDefault="008E677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Në bazë e për zbatim të këtij vendimi, shoqëria KESH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sh.a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, më datë 05.01.2022, ka publikuar  në përputhje me parashikimet e VKM, Thirrje për Shprehje Interesi për marrjen me qira të një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aseti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gjenerues termik. </w:t>
      </w:r>
    </w:p>
    <w:p w14:paraId="7A01EE5D" w14:textId="2307F748" w:rsidR="008E6779" w:rsidRPr="004F488D" w:rsidRDefault="008E677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>Në muajin Prill 2022, u nënshkrua mes palëve (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Exelerate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dhe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Renco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&amp; KESH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sh.a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). Në muajin Shtator 2022, në zonën e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Triportit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, pranë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Petroliferas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, u vendosën për mirëmbajtje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asetet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lundruese. </w:t>
      </w:r>
    </w:p>
    <w:p w14:paraId="03A64659" w14:textId="1C29CCCF" w:rsidR="00295DD6" w:rsidRPr="004F488D" w:rsidRDefault="00295DD6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KESH ka lidhur një kontratë depozitimi me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Petrolifera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Italo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Albanese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(PIA) për përdorimin e depozitave të tyre pranë zonës së </w:t>
      </w:r>
      <w:proofErr w:type="spellStart"/>
      <w:r w:rsidR="001E31BD" w:rsidRPr="004F488D">
        <w:rPr>
          <w:rFonts w:ascii="Times New Roman" w:eastAsia="Calibri" w:hAnsi="Times New Roman" w:cs="Times New Roman"/>
          <w:sz w:val="24"/>
          <w:szCs w:val="24"/>
        </w:rPr>
        <w:t>Triportit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A0936C3" w14:textId="620B3222" w:rsidR="008E6779" w:rsidRPr="004F488D" w:rsidRDefault="008E677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Në këto kushte dhe në fazën kur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asetet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lundruese janë vendosur në vendin përfundimtar ku jan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ankoruar me tokën, nga ana e shoqërisë bëhet e nevojshme furnizimi me lëndë djegëse i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asetit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1B8E36C" w14:textId="569DB07F" w:rsidR="008E6779" w:rsidRPr="004F488D" w:rsidRDefault="008E677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>Për këtë arsye, nga ana e shoqërisë evidentohet se për qëllime të furnizimit, nevoja p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r sh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rbimin q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do 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prokurohet 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sht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si m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posht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D0FD69F" w14:textId="77777777" w:rsidR="002D0C19" w:rsidRPr="004F488D" w:rsidRDefault="002D0C1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48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Blerja e një sasie lënde djegëse dhe dorëzimi i saj pranë PIA. </w:t>
      </w:r>
    </w:p>
    <w:p w14:paraId="3E826BD1" w14:textId="43DDBFB2" w:rsidR="009338FB" w:rsidRPr="004F488D" w:rsidRDefault="009338FB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Asetet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lundruese kanë kapacitete të menaxhimit dhe ruajtjes së lëndës djegëse në një total prej rreth 1,000 (një mijë) ton lëndë djegëse. Konsumi i parashikuar i lëndës djegëse për </w:t>
      </w:r>
      <w:r w:rsidR="00734DCD" w:rsidRPr="004F488D"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M</w:t>
      </w:r>
      <w:r w:rsidR="00724363" w:rsidRPr="004F488D">
        <w:rPr>
          <w:rFonts w:ascii="Times New Roman" w:eastAsia="Calibri" w:hAnsi="Times New Roman" w:cs="Times New Roman"/>
          <w:sz w:val="24"/>
          <w:szCs w:val="24"/>
        </w:rPr>
        <w:t>W</w:t>
      </w:r>
      <w:r w:rsidRPr="004F488D">
        <w:rPr>
          <w:rFonts w:ascii="Times New Roman" w:eastAsia="Calibri" w:hAnsi="Times New Roman" w:cs="Times New Roman"/>
          <w:sz w:val="24"/>
          <w:szCs w:val="24"/>
        </w:rPr>
        <w:t>h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është rreth 229 Kg që </w:t>
      </w:r>
      <w:r w:rsidR="00734DCD" w:rsidRPr="004F488D">
        <w:rPr>
          <w:rFonts w:ascii="Times New Roman" w:eastAsia="Calibri" w:hAnsi="Times New Roman" w:cs="Times New Roman"/>
          <w:sz w:val="24"/>
          <w:szCs w:val="24"/>
        </w:rPr>
        <w:t xml:space="preserve">do të thotë se, në rastin e shfrytëzimit me kapacitet të plotë të </w:t>
      </w:r>
      <w:r w:rsidR="007B5CDC" w:rsidRPr="004F488D">
        <w:rPr>
          <w:rFonts w:ascii="Times New Roman" w:eastAsia="Calibri" w:hAnsi="Times New Roman" w:cs="Times New Roman"/>
          <w:sz w:val="24"/>
          <w:szCs w:val="24"/>
        </w:rPr>
        <w:t>impiantit</w:t>
      </w:r>
      <w:r w:rsidR="00734DCD" w:rsidRPr="004F488D">
        <w:rPr>
          <w:rFonts w:ascii="Times New Roman" w:eastAsia="Calibri" w:hAnsi="Times New Roman" w:cs="Times New Roman"/>
          <w:sz w:val="24"/>
          <w:szCs w:val="24"/>
        </w:rPr>
        <w:t>, nevoja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4DCD" w:rsidRPr="004F488D">
        <w:rPr>
          <w:rFonts w:ascii="Times New Roman" w:eastAsia="Calibri" w:hAnsi="Times New Roman" w:cs="Times New Roman"/>
          <w:sz w:val="24"/>
          <w:szCs w:val="24"/>
        </w:rPr>
        <w:t>p</w:t>
      </w:r>
      <w:r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="00734DCD" w:rsidRPr="004F488D">
        <w:rPr>
          <w:rFonts w:ascii="Times New Roman" w:eastAsia="Calibri" w:hAnsi="Times New Roman" w:cs="Times New Roman"/>
          <w:sz w:val="24"/>
          <w:szCs w:val="24"/>
        </w:rPr>
        <w:t>r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4DCD" w:rsidRPr="004F488D">
        <w:rPr>
          <w:rFonts w:ascii="Times New Roman" w:eastAsia="Calibri" w:hAnsi="Times New Roman" w:cs="Times New Roman"/>
          <w:sz w:val="24"/>
          <w:szCs w:val="24"/>
        </w:rPr>
        <w:t>furnizim është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rreth 500 ton lëndë djegëse në ditë</w:t>
      </w:r>
      <w:r w:rsidR="00734DCD" w:rsidRPr="004F488D">
        <w:rPr>
          <w:rFonts w:ascii="Times New Roman" w:eastAsia="Calibri" w:hAnsi="Times New Roman" w:cs="Times New Roman"/>
          <w:sz w:val="24"/>
          <w:szCs w:val="24"/>
        </w:rPr>
        <w:t xml:space="preserve">, pasi sasia prej rreth 500 ton të tjera do të shërbejë si rezervë </w:t>
      </w:r>
      <w:proofErr w:type="spellStart"/>
      <w:r w:rsidR="00734DCD" w:rsidRPr="004F488D">
        <w:rPr>
          <w:rFonts w:ascii="Times New Roman" w:eastAsia="Calibri" w:hAnsi="Times New Roman" w:cs="Times New Roman"/>
          <w:sz w:val="24"/>
          <w:szCs w:val="24"/>
        </w:rPr>
        <w:t>kontigjence</w:t>
      </w:r>
      <w:proofErr w:type="spellEnd"/>
      <w:r w:rsidR="00734DCD" w:rsidRPr="004F488D">
        <w:rPr>
          <w:rFonts w:ascii="Times New Roman" w:eastAsia="Calibri" w:hAnsi="Times New Roman" w:cs="Times New Roman"/>
          <w:sz w:val="24"/>
          <w:szCs w:val="24"/>
        </w:rPr>
        <w:t xml:space="preserve"> për garantimin e vijueshmërisë  së prodhimit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6EF9FB" w14:textId="77777777" w:rsidR="009338FB" w:rsidRPr="004F488D" w:rsidRDefault="009338FB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lastRenderedPageBreak/>
        <w:t>Si rrjedhojë</w:t>
      </w:r>
      <w:r w:rsidR="008B775F" w:rsidRPr="004F488D">
        <w:rPr>
          <w:rFonts w:ascii="Times New Roman" w:eastAsia="Calibri" w:hAnsi="Times New Roman" w:cs="Times New Roman"/>
          <w:sz w:val="24"/>
          <w:szCs w:val="24"/>
        </w:rPr>
        <w:t>,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lind nevoja e sigurimit të një kapaciteti ruajtës të lëndës djegëse me qëllim sigurimin e vijueshmërisë së furnizimit me lëndë djegëse në vendin e përdorimit dhe të prodhimit nga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aseti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termik. </w:t>
      </w:r>
    </w:p>
    <w:p w14:paraId="3878EFD8" w14:textId="13BCEA6D" w:rsidR="009338FB" w:rsidRPr="004F488D" w:rsidRDefault="009338FB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Ndërkohë lënda djegëse e kërkuar për furnizim, është lëndë e cila nuk prodhohet në vend apo gjendet lehtësisht brenda vendit, për shkak të sasisë së përcaktuar të squfurit. </w:t>
      </w:r>
    </w:p>
    <w:p w14:paraId="12960D42" w14:textId="77777777" w:rsidR="009338FB" w:rsidRPr="004F488D" w:rsidRDefault="009338FB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Zinxhiri i furnizimit nga importi i lëndëve hidrokarbure është i rregullt por i ndikuar nga kushtet gjeopolitike botërore, gjë e cila mund të sjellë efekte edhe në periudhat e furnizimit dhe garantimin e furnizimit. </w:t>
      </w:r>
    </w:p>
    <w:p w14:paraId="21876403" w14:textId="77777777" w:rsidR="009338FB" w:rsidRPr="004F488D" w:rsidRDefault="009338FB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Ndërkohë regjimet e  shfrytëzimit të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asetit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termik janë të varura tërësisht nga konsumi, çmimet e tregjeve si dhe aftësia gjeneruese e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aseteve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të tjera gjeneruese të KESH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sh.a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214820F" w14:textId="77777777" w:rsidR="009338FB" w:rsidRPr="004F488D" w:rsidRDefault="009338FB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Si rrjedhojë regjimet e prodhimit të parashikuara janë të tilla që të përshtaten me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sezonalitetin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e prodhimit hidrik por edhe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sezonalitetin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e çmimeve të energjisë në Evropë. </w:t>
      </w:r>
    </w:p>
    <w:p w14:paraId="47CE516A" w14:textId="2C0C46EE" w:rsidR="009338FB" w:rsidRPr="004F488D" w:rsidRDefault="00681A14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Referuar </w:t>
      </w:r>
      <w:r w:rsidR="00813948" w:rsidRPr="004F488D">
        <w:rPr>
          <w:rFonts w:ascii="Times New Roman" w:eastAsia="Calibri" w:hAnsi="Times New Roman" w:cs="Times New Roman"/>
          <w:sz w:val="24"/>
          <w:szCs w:val="24"/>
        </w:rPr>
        <w:t>kapacitetit depozitues n</w:t>
      </w:r>
      <w:r w:rsidR="00724363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="00813948"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PIA, </w:t>
      </w:r>
      <w:r w:rsidR="00813948" w:rsidRPr="004F488D">
        <w:rPr>
          <w:rFonts w:ascii="Times New Roman" w:eastAsia="Calibri" w:hAnsi="Times New Roman" w:cs="Times New Roman"/>
          <w:sz w:val="24"/>
          <w:szCs w:val="24"/>
        </w:rPr>
        <w:t>nevojave p</w:t>
      </w:r>
      <w:r w:rsidR="00724363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="00813948" w:rsidRPr="004F488D">
        <w:rPr>
          <w:rFonts w:ascii="Times New Roman" w:eastAsia="Calibri" w:hAnsi="Times New Roman" w:cs="Times New Roman"/>
          <w:sz w:val="24"/>
          <w:szCs w:val="24"/>
        </w:rPr>
        <w:t>r gjenerim energjie elektrike, si dhe n</w:t>
      </w:r>
      <w:r w:rsidR="00724363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="00813948" w:rsidRPr="004F488D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724363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="00813948" w:rsidRPr="004F488D">
        <w:rPr>
          <w:rFonts w:ascii="Times New Roman" w:eastAsia="Calibri" w:hAnsi="Times New Roman" w:cs="Times New Roman"/>
          <w:sz w:val="24"/>
          <w:szCs w:val="24"/>
        </w:rPr>
        <w:t xml:space="preserve">rputhje me kushtet e tregut, </w:t>
      </w:r>
      <w:r w:rsidR="009338FB" w:rsidRPr="004F488D">
        <w:rPr>
          <w:rFonts w:ascii="Times New Roman" w:eastAsia="Calibri" w:hAnsi="Times New Roman" w:cs="Times New Roman"/>
          <w:sz w:val="24"/>
          <w:szCs w:val="24"/>
        </w:rPr>
        <w:t xml:space="preserve">sasitë e lëndës djegëse të nevojshme për përdorim, janë të ndryshme në periudha të ndryshme të vitit. </w:t>
      </w:r>
    </w:p>
    <w:p w14:paraId="5BA73CB5" w14:textId="3B58F951" w:rsidR="008C02F8" w:rsidRPr="004F488D" w:rsidRDefault="008C02F8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>Bazuar n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parashikimet e </w:t>
      </w:r>
      <w:r w:rsidRPr="004F488D">
        <w:rPr>
          <w:rFonts w:ascii="Times New Roman" w:eastAsia="SimSun" w:hAnsi="Times New Roman" w:cs="Times New Roman"/>
          <w:sz w:val="24"/>
          <w:szCs w:val="24"/>
        </w:rPr>
        <w:t>Ligjit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Nr.9231, datë 13.5.2004 "Për ratifikimin e "Marrëveshjes së koncesionit të formës "BOO" për ndërtimin dhe shfrytëzimin e terminalit bregdetar, për depozitimin e naftës dhe të nënprodukteve të saj në gjirin e Vlorës"</w:t>
      </w:r>
      <w:r w:rsidR="00760D45"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488D">
        <w:rPr>
          <w:rFonts w:ascii="Times New Roman" w:eastAsia="Calibri" w:hAnsi="Times New Roman" w:cs="Times New Roman"/>
          <w:sz w:val="24"/>
          <w:szCs w:val="24"/>
        </w:rPr>
        <w:t>nga an</w:t>
      </w:r>
      <w:r w:rsidR="00C7793D" w:rsidRPr="004F488D">
        <w:rPr>
          <w:rFonts w:ascii="Times New Roman" w:eastAsia="Calibri" w:hAnsi="Times New Roman" w:cs="Times New Roman"/>
          <w:sz w:val="24"/>
          <w:szCs w:val="24"/>
        </w:rPr>
        <w:t>a e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shoq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ris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me q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llim zbatimin e parashikimeve ligjore dhe t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drejtave t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fituara me ligj nga subjekt, 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sht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realizuar procedura e prokurimit </w:t>
      </w:r>
      <w:r w:rsidR="000331B3" w:rsidRPr="004F488D">
        <w:rPr>
          <w:rFonts w:ascii="Times New Roman" w:eastAsia="Calibri" w:hAnsi="Times New Roman" w:cs="Times New Roman"/>
          <w:sz w:val="24"/>
          <w:szCs w:val="24"/>
        </w:rPr>
        <w:t>t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shërbimit t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31B3" w:rsidRPr="004F488D">
        <w:rPr>
          <w:rFonts w:ascii="Times New Roman" w:eastAsia="Calibri" w:hAnsi="Times New Roman" w:cs="Times New Roman"/>
          <w:sz w:val="24"/>
          <w:szCs w:val="24"/>
        </w:rPr>
        <w:t xml:space="preserve">“Depozitim dhe ngarkim shkarkim i lëndës djegëse </w:t>
      </w:r>
      <w:r w:rsidR="00F05A52" w:rsidRPr="004F488D">
        <w:rPr>
          <w:rFonts w:ascii="Times New Roman" w:eastAsia="Calibri" w:hAnsi="Times New Roman" w:cs="Times New Roman"/>
          <w:sz w:val="24"/>
          <w:szCs w:val="24"/>
        </w:rPr>
        <w:t>n</w:t>
      </w:r>
      <w:r w:rsidR="00724363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="00F05A52" w:rsidRPr="004F488D">
        <w:rPr>
          <w:rFonts w:ascii="Times New Roman" w:eastAsia="Calibri" w:hAnsi="Times New Roman" w:cs="Times New Roman"/>
          <w:sz w:val="24"/>
          <w:szCs w:val="24"/>
        </w:rPr>
        <w:t xml:space="preserve"> vendin e depozitimit (n</w:t>
      </w:r>
      <w:r w:rsidR="00724363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="00F05A52" w:rsidRPr="004F488D">
        <w:rPr>
          <w:rFonts w:ascii="Times New Roman" w:eastAsia="Calibri" w:hAnsi="Times New Roman" w:cs="Times New Roman"/>
          <w:sz w:val="24"/>
          <w:szCs w:val="24"/>
        </w:rPr>
        <w:t xml:space="preserve"> PIA) </w:t>
      </w:r>
      <w:r w:rsidR="000331B3" w:rsidRPr="004F488D">
        <w:rPr>
          <w:rFonts w:ascii="Times New Roman" w:eastAsia="Calibri" w:hAnsi="Times New Roman" w:cs="Times New Roman"/>
          <w:sz w:val="24"/>
          <w:szCs w:val="24"/>
        </w:rPr>
        <w:t xml:space="preserve">për TEC lundrues”. </w:t>
      </w:r>
    </w:p>
    <w:p w14:paraId="36BB2505" w14:textId="71FC39CA" w:rsidR="009338FB" w:rsidRPr="004F488D" w:rsidRDefault="009338FB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Bazuar për sa më sipër, nga ana e grupit të punës, më poshtë përcaktohen kërkesat për nevojën e </w:t>
      </w:r>
      <w:r w:rsidR="007A6D26" w:rsidRPr="004F488D">
        <w:rPr>
          <w:rFonts w:ascii="Times New Roman" w:eastAsia="Calibri" w:hAnsi="Times New Roman" w:cs="Times New Roman"/>
          <w:sz w:val="24"/>
          <w:szCs w:val="24"/>
        </w:rPr>
        <w:t>furnizimit me l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="007A6D26" w:rsidRPr="004F488D">
        <w:rPr>
          <w:rFonts w:ascii="Times New Roman" w:eastAsia="Calibri" w:hAnsi="Times New Roman" w:cs="Times New Roman"/>
          <w:sz w:val="24"/>
          <w:szCs w:val="24"/>
        </w:rPr>
        <w:t>nd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="007A6D26" w:rsidRPr="004F488D">
        <w:rPr>
          <w:rFonts w:ascii="Times New Roman" w:eastAsia="Calibri" w:hAnsi="Times New Roman" w:cs="Times New Roman"/>
          <w:sz w:val="24"/>
          <w:szCs w:val="24"/>
        </w:rPr>
        <w:t xml:space="preserve"> djegëse p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="007A6D26" w:rsidRPr="004F488D">
        <w:rPr>
          <w:rFonts w:ascii="Times New Roman" w:eastAsia="Calibri" w:hAnsi="Times New Roman" w:cs="Times New Roman"/>
          <w:sz w:val="24"/>
          <w:szCs w:val="24"/>
        </w:rPr>
        <w:t xml:space="preserve">r TEC Lundrues, </w:t>
      </w:r>
      <w:r w:rsidR="005C1D83" w:rsidRPr="004F488D">
        <w:rPr>
          <w:rFonts w:ascii="Times New Roman" w:eastAsia="Calibri" w:hAnsi="Times New Roman" w:cs="Times New Roman"/>
          <w:sz w:val="24"/>
          <w:szCs w:val="24"/>
        </w:rPr>
        <w:t>Vlor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="005C1D83" w:rsidRPr="004F488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CE7B22E" w14:textId="710C3429" w:rsidR="008E6779" w:rsidRPr="004F488D" w:rsidRDefault="008E6779" w:rsidP="0056008C">
      <w:pPr>
        <w:pStyle w:val="Heading1"/>
        <w:rPr>
          <w:rFonts w:eastAsia="Times New Roman"/>
          <w:color w:val="auto"/>
        </w:rPr>
      </w:pPr>
      <w:bookmarkStart w:id="3" w:name="_Toc146539130"/>
      <w:r w:rsidRPr="004F488D">
        <w:rPr>
          <w:rFonts w:eastAsia="Times New Roman"/>
          <w:color w:val="auto"/>
        </w:rPr>
        <w:t>L</w:t>
      </w:r>
      <w:r w:rsidR="00624211" w:rsidRPr="004F488D">
        <w:rPr>
          <w:rFonts w:eastAsia="Times New Roman"/>
          <w:color w:val="auto"/>
        </w:rPr>
        <w:t>Ë</w:t>
      </w:r>
      <w:r w:rsidRPr="004F488D">
        <w:rPr>
          <w:rFonts w:eastAsia="Times New Roman"/>
          <w:color w:val="auto"/>
        </w:rPr>
        <w:t>NDA DJEG</w:t>
      </w:r>
      <w:r w:rsidR="00624211" w:rsidRPr="004F488D">
        <w:rPr>
          <w:rFonts w:eastAsia="Times New Roman"/>
          <w:color w:val="auto"/>
        </w:rPr>
        <w:t>Ë</w:t>
      </w:r>
      <w:r w:rsidRPr="004F488D">
        <w:rPr>
          <w:rFonts w:eastAsia="Times New Roman"/>
          <w:color w:val="auto"/>
        </w:rPr>
        <w:t>SE</w:t>
      </w:r>
      <w:r w:rsidR="0035175A" w:rsidRPr="004F488D">
        <w:rPr>
          <w:rFonts w:eastAsia="Times New Roman"/>
          <w:color w:val="auto"/>
        </w:rPr>
        <w:t>, MËNYRA</w:t>
      </w:r>
      <w:r w:rsidRPr="004F488D">
        <w:rPr>
          <w:rFonts w:eastAsia="Times New Roman"/>
          <w:color w:val="auto"/>
        </w:rPr>
        <w:t xml:space="preserve"> DHE VENDODHJA E FURNIZIMIT</w:t>
      </w:r>
      <w:bookmarkEnd w:id="3"/>
    </w:p>
    <w:p w14:paraId="53564966" w14:textId="3B7F65D0" w:rsidR="008E6779" w:rsidRPr="004F488D" w:rsidRDefault="008E677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Për qëllime të funksionimit, këto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asete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termike kanë nevojën e furnizimit me lëndë djegëse të llojit HFO, përcaktuar në bazë të specifikimeve teknike dhe në referencë të ISO 8217, si ISO RME, me </w:t>
      </w:r>
      <w:bookmarkStart w:id="4" w:name="_Hlk146016173"/>
      <w:r w:rsidRPr="004F488D">
        <w:rPr>
          <w:rFonts w:ascii="Times New Roman" w:eastAsia="Calibri" w:hAnsi="Times New Roman" w:cs="Times New Roman"/>
          <w:sz w:val="24"/>
          <w:szCs w:val="24"/>
        </w:rPr>
        <w:t>përmbajtje të squfurit jo m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madhe se 0.5%</w:t>
      </w:r>
      <w:bookmarkEnd w:id="4"/>
      <w:r w:rsidR="000E582B" w:rsidRPr="004F488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siç </w:t>
      </w:r>
      <w:r w:rsidR="003E7F1E"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>sht</w:t>
      </w:r>
      <w:r w:rsidR="003E7F1E"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specifikuar n</w:t>
      </w:r>
      <w:r w:rsidR="003E7F1E"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F488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Aneksin 1</w:t>
      </w:r>
      <w:r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</w:t>
      </w:r>
      <w:r w:rsidR="003E7F1E"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k</w:t>
      </w:r>
      <w:r w:rsidR="003E7F1E"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>tyre termave</w:t>
      </w:r>
      <w:r w:rsidRPr="004F488D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23685B34" w14:textId="481F3286" w:rsidR="005C1D83" w:rsidRPr="004F488D" w:rsidRDefault="005C1D83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>KESH nuk do 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pranoj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propozime p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r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lend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djeg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se 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ndryshme nga ajo e k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rkuar, me parametra 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ndrysh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m nga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cfar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sht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parashikuar dhe q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nuk bie n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n asnj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klasifikim 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standarteve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nd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rkomb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tare 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cituara apo 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ngjashme. </w:t>
      </w:r>
    </w:p>
    <w:p w14:paraId="037B2173" w14:textId="0B1A0E1B" w:rsidR="002D0C19" w:rsidRPr="004F488D" w:rsidRDefault="002D0C1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Sasia e kërkuar e Lëndës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Djegësë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është </w:t>
      </w:r>
      <w:r w:rsidR="00EE31E8" w:rsidRPr="004F488D">
        <w:rPr>
          <w:rFonts w:ascii="Times New Roman" w:eastAsia="Calibri" w:hAnsi="Times New Roman" w:cs="Times New Roman"/>
          <w:sz w:val="24"/>
          <w:szCs w:val="24"/>
        </w:rPr>
        <w:t>15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.000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metric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ton.</w:t>
      </w:r>
    </w:p>
    <w:p w14:paraId="304AAD11" w14:textId="7B5EEB70" w:rsidR="008E6779" w:rsidRPr="004F488D" w:rsidRDefault="008E677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>Furnizimi me lëndë djegëse</w:t>
      </w:r>
      <w:r w:rsidR="00AD6D95" w:rsidRPr="004F488D">
        <w:rPr>
          <w:rFonts w:ascii="Times New Roman" w:eastAsia="Calibri" w:hAnsi="Times New Roman" w:cs="Times New Roman"/>
          <w:sz w:val="24"/>
          <w:szCs w:val="24"/>
        </w:rPr>
        <w:t xml:space="preserve"> pranë PIA-s </w:t>
      </w:r>
      <w:r w:rsidRPr="004F488D">
        <w:rPr>
          <w:rFonts w:ascii="Times New Roman" w:eastAsia="Calibri" w:hAnsi="Times New Roman" w:cs="Times New Roman"/>
          <w:sz w:val="24"/>
          <w:szCs w:val="24"/>
        </w:rPr>
        <w:t>i dy termocentraleve lundruese 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stacionuara sipas hart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s treguese n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488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Aneksin 2</w:t>
      </w:r>
      <w:r w:rsidRPr="004F488D">
        <w:rPr>
          <w:rFonts w:ascii="Times New Roman" w:eastAsia="Calibri" w:hAnsi="Times New Roman" w:cs="Times New Roman"/>
          <w:sz w:val="24"/>
          <w:szCs w:val="24"/>
        </w:rPr>
        <w:t>. N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k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vendndodhje 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sht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pozicionuar gjith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infrastruktura e nevojshme prit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se e </w:t>
      </w:r>
      <w:r w:rsidR="0035175A" w:rsidRPr="004F488D">
        <w:rPr>
          <w:rFonts w:ascii="Times New Roman" w:eastAsia="Calibri" w:hAnsi="Times New Roman" w:cs="Times New Roman"/>
          <w:sz w:val="24"/>
          <w:szCs w:val="24"/>
        </w:rPr>
        <w:t>lëndës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djeg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se e gatshme p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r p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rdorim.</w:t>
      </w:r>
    </w:p>
    <w:p w14:paraId="3A61F9CB" w14:textId="7361126E" w:rsidR="0035175A" w:rsidRPr="004F488D" w:rsidRDefault="0035175A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5" w:name="_Hlk173751526"/>
      <w:r w:rsidRPr="004F488D">
        <w:rPr>
          <w:rFonts w:ascii="Times New Roman" w:eastAsia="Calibri" w:hAnsi="Times New Roman" w:cs="Times New Roman"/>
          <w:sz w:val="24"/>
          <w:szCs w:val="24"/>
        </w:rPr>
        <w:lastRenderedPageBreak/>
        <w:t>Operatori fitues duhet të furnizojë lëndën djegëse në vendin e parashikuar në Aneksin 2 nëpërmjet</w:t>
      </w:r>
      <w:r w:rsidR="00AD6D95" w:rsidRPr="004F488D">
        <w:rPr>
          <w:rFonts w:ascii="Times New Roman" w:eastAsia="Calibri" w:hAnsi="Times New Roman" w:cs="Times New Roman"/>
          <w:sz w:val="24"/>
          <w:szCs w:val="24"/>
        </w:rPr>
        <w:t xml:space="preserve"> mjeteve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të përshtatshme për transportin e kësaj lënde. Transporti i lëndës djegëse duhet të realizohet në mënyrë të tillë që të mos humbin karakteristikat e lëndës, të mos krijojnë ndotje mjedisore dhe të përmbushi të gjithë legjislacionin shqiptar për transportimin e lëndëve djegëse. Lënda duhet të transportohet me </w:t>
      </w:r>
      <w:r w:rsidR="00B11879" w:rsidRPr="004F488D">
        <w:rPr>
          <w:rFonts w:ascii="Times New Roman" w:eastAsia="Calibri" w:hAnsi="Times New Roman" w:cs="Times New Roman"/>
          <w:sz w:val="24"/>
          <w:szCs w:val="24"/>
        </w:rPr>
        <w:t>mjete lundruese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të projektuara për transportin e lëndës së kërkuar, me </w:t>
      </w:r>
      <w:r w:rsidR="00E039B4" w:rsidRPr="004F488D">
        <w:rPr>
          <w:rFonts w:ascii="Times New Roman" w:eastAsia="Calibri" w:hAnsi="Times New Roman" w:cs="Times New Roman"/>
          <w:sz w:val="24"/>
          <w:szCs w:val="24"/>
        </w:rPr>
        <w:t xml:space="preserve">peshë deri në </w:t>
      </w:r>
      <w:r w:rsidR="00EE31E8" w:rsidRPr="004F488D">
        <w:rPr>
          <w:rFonts w:ascii="Times New Roman" w:eastAsia="Calibri" w:hAnsi="Times New Roman" w:cs="Times New Roman"/>
          <w:sz w:val="24"/>
          <w:szCs w:val="24"/>
          <w:lang w:val="en-US"/>
        </w:rPr>
        <w:t>15</w:t>
      </w:r>
      <w:r w:rsidR="00F06113" w:rsidRPr="004F48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.000 </w:t>
      </w:r>
      <w:r w:rsidR="00EE31E8" w:rsidRPr="004F48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metric </w:t>
      </w:r>
      <w:r w:rsidR="00F06113" w:rsidRPr="004F48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ton </w:t>
      </w:r>
      <w:r w:rsidRPr="004F488D">
        <w:rPr>
          <w:rFonts w:ascii="Times New Roman" w:eastAsia="Calibri" w:hAnsi="Times New Roman" w:cs="Times New Roman"/>
          <w:sz w:val="24"/>
          <w:szCs w:val="24"/>
        </w:rPr>
        <w:t>/</w:t>
      </w:r>
      <w:r w:rsidR="00AD6D95" w:rsidRPr="004F488D">
        <w:rPr>
          <w:rFonts w:ascii="Times New Roman" w:eastAsia="Calibri" w:hAnsi="Times New Roman" w:cs="Times New Roman"/>
          <w:sz w:val="24"/>
          <w:szCs w:val="24"/>
        </w:rPr>
        <w:t xml:space="preserve"> lende djegës</w:t>
      </w:r>
      <w:r w:rsidR="00724363" w:rsidRPr="004F488D">
        <w:rPr>
          <w:rFonts w:ascii="Times New Roman" w:eastAsia="Calibri" w:hAnsi="Times New Roman" w:cs="Times New Roman"/>
          <w:sz w:val="24"/>
          <w:szCs w:val="24"/>
        </w:rPr>
        <w:t>e</w:t>
      </w:r>
      <w:r w:rsidR="00AD6D95"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1879" w:rsidRPr="004F488D">
        <w:rPr>
          <w:rFonts w:ascii="Times New Roman" w:eastAsia="Calibri" w:hAnsi="Times New Roman" w:cs="Times New Roman"/>
          <w:sz w:val="24"/>
          <w:szCs w:val="24"/>
        </w:rPr>
        <w:t>dhe thellësi zhytje jo me te madhe se 8 metra</w:t>
      </w:r>
      <w:r w:rsidR="00E039B4" w:rsidRPr="004F488D">
        <w:rPr>
          <w:rFonts w:ascii="Times New Roman" w:eastAsia="Calibri" w:hAnsi="Times New Roman" w:cs="Times New Roman"/>
          <w:sz w:val="24"/>
          <w:szCs w:val="24"/>
        </w:rPr>
        <w:t>.</w:t>
      </w:r>
      <w:r w:rsidR="00F05A52"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488D">
        <w:rPr>
          <w:rFonts w:ascii="Times New Roman" w:eastAsia="Calibri" w:hAnsi="Times New Roman" w:cs="Times New Roman"/>
          <w:sz w:val="24"/>
          <w:szCs w:val="24"/>
        </w:rPr>
        <w:t>Infrastruktura pritëse e ndërtuar</w:t>
      </w:r>
      <w:r w:rsidR="00F06113"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ka kapacitet shkarkimin e </w:t>
      </w:r>
      <w:r w:rsidR="00AD6D95" w:rsidRPr="004F488D">
        <w:rPr>
          <w:rFonts w:ascii="Times New Roman" w:eastAsia="Calibri" w:hAnsi="Times New Roman" w:cs="Times New Roman"/>
          <w:sz w:val="24"/>
          <w:szCs w:val="24"/>
        </w:rPr>
        <w:t>1 mjeti lundrues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(siç është treguar në Aneksin 2). Detajet e tjera në lidhje me logjistikën e shkarkimit në vend do të bëhen të ditura pas finalizimit të kontratës me operatorin fitues.  </w:t>
      </w:r>
    </w:p>
    <w:p w14:paraId="481614FF" w14:textId="5DD7D702" w:rsidR="00624211" w:rsidRPr="004F488D" w:rsidRDefault="00624211" w:rsidP="0056008C">
      <w:pPr>
        <w:pStyle w:val="Heading1"/>
        <w:rPr>
          <w:rFonts w:eastAsia="Times New Roman"/>
          <w:color w:val="auto"/>
        </w:rPr>
      </w:pPr>
      <w:bookmarkStart w:id="6" w:name="_Toc146539131"/>
      <w:bookmarkEnd w:id="5"/>
      <w:r w:rsidRPr="004F488D">
        <w:rPr>
          <w:rFonts w:eastAsia="Times New Roman"/>
          <w:color w:val="auto"/>
        </w:rPr>
        <w:t>LIDHJA DHE KOHËZGJATJA E KONTRATËS</w:t>
      </w:r>
      <w:bookmarkEnd w:id="6"/>
      <w:r w:rsidRPr="004F488D">
        <w:rPr>
          <w:rFonts w:eastAsia="Times New Roman"/>
          <w:color w:val="auto"/>
        </w:rPr>
        <w:t xml:space="preserve"> </w:t>
      </w:r>
    </w:p>
    <w:p w14:paraId="6973DBEC" w14:textId="2171B13C" w:rsidR="007A6D26" w:rsidRPr="004F488D" w:rsidRDefault="00624211" w:rsidP="005C1D83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88D">
        <w:rPr>
          <w:rFonts w:ascii="Times New Roman" w:eastAsia="Calibri" w:hAnsi="Times New Roman" w:cs="Times New Roman"/>
          <w:bCs/>
          <w:sz w:val="24"/>
          <w:szCs w:val="24"/>
        </w:rPr>
        <w:t>Kontrata do t’i akordohet operatorit q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do shpallet fitues n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p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>rfundim t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procesit t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vler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simit nga ana e KESH </w:t>
      </w:r>
      <w:proofErr w:type="spellStart"/>
      <w:r w:rsidRPr="004F488D">
        <w:rPr>
          <w:rFonts w:ascii="Times New Roman" w:eastAsia="Calibri" w:hAnsi="Times New Roman" w:cs="Times New Roman"/>
          <w:bCs/>
          <w:sz w:val="24"/>
          <w:szCs w:val="24"/>
        </w:rPr>
        <w:t>sh.a</w:t>
      </w:r>
      <w:proofErr w:type="spellEnd"/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referuar kritereve kualifikuese dhe çmimit p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>r nj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>si t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produktit. </w:t>
      </w:r>
      <w:r w:rsidRPr="004F488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(t</w:t>
      </w:r>
      <w:r w:rsidR="003E7F1E" w:rsidRPr="004F488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p</w:t>
      </w:r>
      <w:r w:rsidR="003E7F1E" w:rsidRPr="004F488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rshkruara n</w:t>
      </w:r>
      <w:r w:rsidR="003E7F1E" w:rsidRPr="004F488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dokumentin Kritere p</w:t>
      </w:r>
      <w:r w:rsidR="003E7F1E" w:rsidRPr="004F488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 Kualifikim)</w:t>
      </w:r>
      <w:r w:rsidR="007C4091" w:rsidRPr="004F488D">
        <w:rPr>
          <w:rFonts w:ascii="Times New Roman" w:eastAsia="Calibri" w:hAnsi="Times New Roman" w:cs="Times New Roman"/>
          <w:bCs/>
          <w:sz w:val="24"/>
          <w:szCs w:val="24"/>
        </w:rPr>
        <w:t>. KESH do t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7C4091"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lidh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7C4091"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kontrat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7C4091"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me vet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7C4091" w:rsidRPr="004F488D">
        <w:rPr>
          <w:rFonts w:ascii="Times New Roman" w:eastAsia="Calibri" w:hAnsi="Times New Roman" w:cs="Times New Roman"/>
          <w:bCs/>
          <w:sz w:val="24"/>
          <w:szCs w:val="24"/>
        </w:rPr>
        <w:t>m 1 operator ekonom</w:t>
      </w:r>
      <w:r w:rsidR="007E1006" w:rsidRPr="004F488D">
        <w:rPr>
          <w:rFonts w:ascii="Times New Roman" w:eastAsia="Calibri" w:hAnsi="Times New Roman" w:cs="Times New Roman"/>
          <w:bCs/>
          <w:sz w:val="24"/>
          <w:szCs w:val="24"/>
        </w:rPr>
        <w:t>ik</w:t>
      </w:r>
      <w:r w:rsidR="000E582B" w:rsidRPr="004F488D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E1629"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72E3797" w14:textId="33175B9F" w:rsidR="007E1006" w:rsidRPr="004F488D" w:rsidRDefault="007E1006" w:rsidP="005C1D83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089AF3" w14:textId="50AA329F" w:rsidR="007E1006" w:rsidRPr="004F488D" w:rsidRDefault="007E1006" w:rsidP="005C1D83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88D">
        <w:rPr>
          <w:rFonts w:ascii="Times New Roman" w:eastAsia="Calibri" w:hAnsi="Times New Roman" w:cs="Times New Roman"/>
          <w:bCs/>
          <w:sz w:val="24"/>
          <w:szCs w:val="24"/>
        </w:rPr>
        <w:t>KESH nuk do mbaj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asnj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p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>rgjegj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>si dhe kosto ndaj operator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>ve q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nuk klasifikohen si fitues n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p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>rfundim t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procedur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>s s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prokurimit. </w:t>
      </w:r>
    </w:p>
    <w:p w14:paraId="2222AC58" w14:textId="28FB96C0" w:rsidR="007E1006" w:rsidRPr="004F488D" w:rsidRDefault="009843B7" w:rsidP="005C1D83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88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7E1006" w:rsidRPr="004F488D">
        <w:rPr>
          <w:rFonts w:ascii="Times New Roman" w:eastAsia="Calibri" w:hAnsi="Times New Roman" w:cs="Times New Roman"/>
          <w:bCs/>
          <w:sz w:val="24"/>
          <w:szCs w:val="24"/>
        </w:rPr>
        <w:t>Koh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7E1006" w:rsidRPr="004F488D">
        <w:rPr>
          <w:rFonts w:ascii="Times New Roman" w:eastAsia="Calibri" w:hAnsi="Times New Roman" w:cs="Times New Roman"/>
          <w:bCs/>
          <w:sz w:val="24"/>
          <w:szCs w:val="24"/>
        </w:rPr>
        <w:t>zgjatja e kontrat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7E1006" w:rsidRPr="004F488D">
        <w:rPr>
          <w:rFonts w:ascii="Times New Roman" w:eastAsia="Calibri" w:hAnsi="Times New Roman" w:cs="Times New Roman"/>
          <w:bCs/>
          <w:sz w:val="24"/>
          <w:szCs w:val="24"/>
        </w:rPr>
        <w:t>s do t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7E1006"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jet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D17D77"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60 ditë</w:t>
      </w:r>
      <w:r w:rsidR="00B11879"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52CD7"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nga momenti i </w:t>
      </w:r>
      <w:proofErr w:type="spellStart"/>
      <w:r w:rsidR="00552CD7" w:rsidRPr="004F488D">
        <w:rPr>
          <w:rFonts w:ascii="Times New Roman" w:eastAsia="Calibri" w:hAnsi="Times New Roman" w:cs="Times New Roman"/>
          <w:bCs/>
          <w:sz w:val="24"/>
          <w:szCs w:val="24"/>
        </w:rPr>
        <w:t>nëshkrimit</w:t>
      </w:r>
      <w:proofErr w:type="spellEnd"/>
      <w:r w:rsidR="0088502A"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52CD7"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8502A" w:rsidRPr="004F488D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06113"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Afati i l</w:t>
      </w:r>
      <w:r w:rsidR="00724363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F06113"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vrimit </w:t>
      </w:r>
      <w:r w:rsidR="00724363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F06113" w:rsidRPr="004F488D">
        <w:rPr>
          <w:rFonts w:ascii="Times New Roman" w:eastAsia="Calibri" w:hAnsi="Times New Roman" w:cs="Times New Roman"/>
          <w:bCs/>
          <w:sz w:val="24"/>
          <w:szCs w:val="24"/>
        </w:rPr>
        <w:t>sht</w:t>
      </w:r>
      <w:r w:rsidR="00724363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F06113"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30 dit</w:t>
      </w:r>
      <w:r w:rsidR="00724363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F06113"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nga </w:t>
      </w:r>
      <w:r w:rsidR="005F3279" w:rsidRPr="004F488D">
        <w:rPr>
          <w:rFonts w:ascii="Times New Roman" w:eastAsia="Calibri" w:hAnsi="Times New Roman" w:cs="Times New Roman"/>
          <w:bCs/>
          <w:sz w:val="24"/>
          <w:szCs w:val="24"/>
        </w:rPr>
        <w:t>l</w:t>
      </w:r>
      <w:r w:rsidR="00724363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5F3279" w:rsidRPr="004F488D">
        <w:rPr>
          <w:rFonts w:ascii="Times New Roman" w:eastAsia="Calibri" w:hAnsi="Times New Roman" w:cs="Times New Roman"/>
          <w:bCs/>
          <w:sz w:val="24"/>
          <w:szCs w:val="24"/>
        </w:rPr>
        <w:t>shimi i LC p</w:t>
      </w:r>
      <w:r w:rsidR="00724363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5F3279" w:rsidRPr="004F488D">
        <w:rPr>
          <w:rFonts w:ascii="Times New Roman" w:eastAsia="Calibri" w:hAnsi="Times New Roman" w:cs="Times New Roman"/>
          <w:bCs/>
          <w:sz w:val="24"/>
          <w:szCs w:val="24"/>
        </w:rPr>
        <w:t>r pages</w:t>
      </w:r>
      <w:r w:rsidR="00724363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F06113" w:rsidRPr="004F488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D07A8F5" w14:textId="19E9933A" w:rsidR="00142178" w:rsidRPr="004F488D" w:rsidRDefault="00142178" w:rsidP="005C1D83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C1D1D7" w14:textId="46B9DD5A" w:rsidR="00142178" w:rsidRPr="004F488D" w:rsidRDefault="00142178" w:rsidP="005C1D83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88D">
        <w:rPr>
          <w:rFonts w:ascii="Times New Roman" w:eastAsia="Calibri" w:hAnsi="Times New Roman" w:cs="Times New Roman"/>
          <w:bCs/>
          <w:sz w:val="24"/>
          <w:szCs w:val="24"/>
        </w:rPr>
        <w:t>KESH nuk do t</w:t>
      </w:r>
      <w:r w:rsidR="0035175A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pranoj</w:t>
      </w:r>
      <w:r w:rsidR="0035175A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biofuel apo produkte me karakteristika t</w:t>
      </w:r>
      <w:r w:rsidR="0035175A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ndryshme nga produkti i p</w:t>
      </w:r>
      <w:r w:rsidR="0035175A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>rshkruar n</w:t>
      </w:r>
      <w:r w:rsidR="0035175A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pik</w:t>
      </w:r>
      <w:r w:rsidR="0035175A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>n 3 (Aneksi 1) t</w:t>
      </w:r>
      <w:r w:rsidR="0035175A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materialit. </w:t>
      </w:r>
    </w:p>
    <w:p w14:paraId="1DCBC549" w14:textId="502254EA" w:rsidR="0056008C" w:rsidRPr="004F488D" w:rsidRDefault="0056008C" w:rsidP="0056008C">
      <w:pPr>
        <w:pStyle w:val="Heading1"/>
        <w:rPr>
          <w:rFonts w:eastAsia="Times New Roman"/>
          <w:color w:val="auto"/>
        </w:rPr>
      </w:pPr>
      <w:r w:rsidRPr="004F488D">
        <w:rPr>
          <w:rFonts w:eastAsia="Times New Roman"/>
          <w:color w:val="auto"/>
        </w:rPr>
        <w:t>DETYRIMET E PËRGJITHSHME TË OPERATORIT FITUES</w:t>
      </w:r>
    </w:p>
    <w:p w14:paraId="26546EC7" w14:textId="449494CC" w:rsidR="0056008C" w:rsidRPr="004F488D" w:rsidRDefault="0056008C" w:rsidP="0056008C">
      <w:pPr>
        <w:pStyle w:val="ListParagraph"/>
        <w:numPr>
          <w:ilvl w:val="0"/>
          <w:numId w:val="25"/>
        </w:numPr>
        <w:tabs>
          <w:tab w:val="left" w:pos="142"/>
        </w:tabs>
        <w:spacing w:line="276" w:lineRule="auto"/>
        <w:jc w:val="both"/>
        <w:rPr>
          <w:rFonts w:ascii="Times New Roman" w:eastAsia="Calibri" w:hAnsi="Times New Roman"/>
          <w:bCs/>
          <w:lang w:val="sq-AL"/>
        </w:rPr>
      </w:pPr>
      <w:r w:rsidRPr="004F488D">
        <w:rPr>
          <w:rFonts w:ascii="Times New Roman" w:eastAsia="Calibri" w:hAnsi="Times New Roman"/>
          <w:bCs/>
          <w:lang w:val="sq-AL"/>
        </w:rPr>
        <w:t>Ka detyrimin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siguroj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produktin sipas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gjitha k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rkesave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k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tij dokumenti pa pretendime apo ndryshime </w:t>
      </w:r>
    </w:p>
    <w:p w14:paraId="6334D0CF" w14:textId="5B9AB7BA" w:rsidR="00FF711D" w:rsidRPr="004F488D" w:rsidRDefault="00FF711D" w:rsidP="0056008C">
      <w:pPr>
        <w:pStyle w:val="ListParagraph"/>
        <w:numPr>
          <w:ilvl w:val="0"/>
          <w:numId w:val="25"/>
        </w:numPr>
        <w:tabs>
          <w:tab w:val="left" w:pos="142"/>
        </w:tabs>
        <w:spacing w:line="276" w:lineRule="auto"/>
        <w:jc w:val="both"/>
        <w:rPr>
          <w:rFonts w:ascii="Times New Roman" w:eastAsia="Calibri" w:hAnsi="Times New Roman"/>
          <w:bCs/>
          <w:lang w:val="sq-AL"/>
        </w:rPr>
      </w:pPr>
      <w:r w:rsidRPr="004F488D">
        <w:rPr>
          <w:rFonts w:ascii="Times New Roman" w:eastAsia="Calibri" w:hAnsi="Times New Roman"/>
          <w:bCs/>
          <w:lang w:val="sq-AL"/>
        </w:rPr>
        <w:t>Ka detyrimin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disponoj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gjith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lejet dhe </w:t>
      </w:r>
      <w:r w:rsidR="0035175A" w:rsidRPr="004F488D">
        <w:rPr>
          <w:rFonts w:ascii="Times New Roman" w:eastAsia="Calibri" w:hAnsi="Times New Roman"/>
          <w:bCs/>
          <w:lang w:val="sq-AL"/>
        </w:rPr>
        <w:t>licencat</w:t>
      </w:r>
      <w:r w:rsidRPr="004F488D">
        <w:rPr>
          <w:rFonts w:ascii="Times New Roman" w:eastAsia="Calibri" w:hAnsi="Times New Roman"/>
          <w:bCs/>
          <w:lang w:val="sq-AL"/>
        </w:rPr>
        <w:t xml:space="preserve"> e nevojshme </w:t>
      </w:r>
    </w:p>
    <w:p w14:paraId="5783336C" w14:textId="5EC56421" w:rsidR="00FF711D" w:rsidRPr="004F488D" w:rsidRDefault="00FF711D" w:rsidP="0056008C">
      <w:pPr>
        <w:pStyle w:val="ListParagraph"/>
        <w:numPr>
          <w:ilvl w:val="0"/>
          <w:numId w:val="25"/>
        </w:numPr>
        <w:tabs>
          <w:tab w:val="left" w:pos="142"/>
        </w:tabs>
        <w:spacing w:line="276" w:lineRule="auto"/>
        <w:jc w:val="both"/>
        <w:rPr>
          <w:rFonts w:ascii="Times New Roman" w:eastAsia="Calibri" w:hAnsi="Times New Roman"/>
          <w:bCs/>
          <w:lang w:val="sq-AL"/>
        </w:rPr>
      </w:pPr>
      <w:r w:rsidRPr="004F488D">
        <w:rPr>
          <w:rFonts w:ascii="Times New Roman" w:eastAsia="Calibri" w:hAnsi="Times New Roman"/>
          <w:bCs/>
          <w:lang w:val="sq-AL"/>
        </w:rPr>
        <w:t>Ka detyrim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p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rmbush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gjitha kushtet mjedisore sipas praktikave m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mira nd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rkomb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tare dhe k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rkesave komb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tare. </w:t>
      </w:r>
    </w:p>
    <w:p w14:paraId="6F985A00" w14:textId="330A6F1C" w:rsidR="00965762" w:rsidRPr="004F488D" w:rsidRDefault="00965762" w:rsidP="0056008C">
      <w:pPr>
        <w:pStyle w:val="ListParagraph"/>
        <w:numPr>
          <w:ilvl w:val="0"/>
          <w:numId w:val="25"/>
        </w:numPr>
        <w:tabs>
          <w:tab w:val="left" w:pos="142"/>
        </w:tabs>
        <w:spacing w:line="276" w:lineRule="auto"/>
        <w:jc w:val="both"/>
        <w:rPr>
          <w:rFonts w:ascii="Times New Roman" w:eastAsia="Calibri" w:hAnsi="Times New Roman"/>
          <w:bCs/>
          <w:lang w:val="sq-AL"/>
        </w:rPr>
      </w:pPr>
      <w:r w:rsidRPr="004F488D">
        <w:rPr>
          <w:rFonts w:ascii="Times New Roman" w:eastAsia="Calibri" w:hAnsi="Times New Roman"/>
          <w:bCs/>
          <w:lang w:val="sq-AL"/>
        </w:rPr>
        <w:t>Ka detyrim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tregoj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gatishm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rin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p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komunikuar n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lidhje me porosit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gjat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fundjavave dhe dit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ve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pushimit si dhe gatishm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ri 24 </w:t>
      </w:r>
      <w:r w:rsidR="00C10657" w:rsidRPr="004F488D">
        <w:rPr>
          <w:rFonts w:ascii="Times New Roman" w:eastAsia="Calibri" w:hAnsi="Times New Roman"/>
          <w:bCs/>
          <w:lang w:val="sq-AL"/>
        </w:rPr>
        <w:t>or</w:t>
      </w:r>
      <w:r w:rsidR="00724363" w:rsidRPr="004F488D">
        <w:rPr>
          <w:rFonts w:ascii="Times New Roman" w:eastAsia="Calibri" w:hAnsi="Times New Roman"/>
          <w:bCs/>
          <w:lang w:val="sq-AL"/>
        </w:rPr>
        <w:t>ë</w:t>
      </w:r>
      <w:r w:rsidR="00C10657" w:rsidRPr="004F488D">
        <w:rPr>
          <w:rFonts w:ascii="Times New Roman" w:eastAsia="Calibri" w:hAnsi="Times New Roman"/>
          <w:bCs/>
          <w:lang w:val="sq-AL"/>
        </w:rPr>
        <w:t xml:space="preserve"> </w:t>
      </w:r>
      <w:r w:rsidRPr="004F488D">
        <w:rPr>
          <w:rFonts w:ascii="Times New Roman" w:eastAsia="Calibri" w:hAnsi="Times New Roman"/>
          <w:bCs/>
          <w:lang w:val="sq-AL"/>
        </w:rPr>
        <w:t>gjat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momenteve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furnizimit n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vend. </w:t>
      </w:r>
    </w:p>
    <w:p w14:paraId="4FE49274" w14:textId="5F6FA9F1" w:rsidR="00965762" w:rsidRPr="004F488D" w:rsidRDefault="00965762" w:rsidP="0056008C">
      <w:pPr>
        <w:pStyle w:val="ListParagraph"/>
        <w:numPr>
          <w:ilvl w:val="0"/>
          <w:numId w:val="25"/>
        </w:numPr>
        <w:tabs>
          <w:tab w:val="left" w:pos="142"/>
        </w:tabs>
        <w:spacing w:line="276" w:lineRule="auto"/>
        <w:jc w:val="both"/>
        <w:rPr>
          <w:rFonts w:ascii="Times New Roman" w:eastAsia="Calibri" w:hAnsi="Times New Roman"/>
          <w:bCs/>
          <w:lang w:val="sq-AL"/>
        </w:rPr>
      </w:pPr>
      <w:r w:rsidRPr="004F488D">
        <w:rPr>
          <w:rFonts w:ascii="Times New Roman" w:eastAsia="Calibri" w:hAnsi="Times New Roman"/>
          <w:bCs/>
          <w:lang w:val="sq-AL"/>
        </w:rPr>
        <w:t>Ka detyrim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paraqes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gjith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informacionin e nevojsh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m q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do k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rkohet nga KESH </w:t>
      </w:r>
      <w:proofErr w:type="spellStart"/>
      <w:r w:rsidRPr="004F488D">
        <w:rPr>
          <w:rFonts w:ascii="Times New Roman" w:eastAsia="Calibri" w:hAnsi="Times New Roman"/>
          <w:bCs/>
          <w:lang w:val="sq-AL"/>
        </w:rPr>
        <w:t>sh.a</w:t>
      </w:r>
      <w:proofErr w:type="spellEnd"/>
      <w:r w:rsidRPr="004F488D">
        <w:rPr>
          <w:rFonts w:ascii="Times New Roman" w:eastAsia="Calibri" w:hAnsi="Times New Roman"/>
          <w:bCs/>
          <w:lang w:val="sq-AL"/>
        </w:rPr>
        <w:t xml:space="preserve"> n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lidhje me origjin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n e produktit, </w:t>
      </w:r>
      <w:r w:rsidR="0035175A" w:rsidRPr="004F488D">
        <w:rPr>
          <w:rFonts w:ascii="Times New Roman" w:eastAsia="Calibri" w:hAnsi="Times New Roman"/>
          <w:bCs/>
          <w:lang w:val="sq-AL"/>
        </w:rPr>
        <w:t>mënyrën</w:t>
      </w:r>
      <w:r w:rsidRPr="004F488D">
        <w:rPr>
          <w:rFonts w:ascii="Times New Roman" w:eastAsia="Calibri" w:hAnsi="Times New Roman"/>
          <w:bCs/>
          <w:lang w:val="sq-AL"/>
        </w:rPr>
        <w:t xml:space="preserve"> e p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rpunimit dhe/ose transportit. Kjo p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 arsye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p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rmbushjes s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k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rkesave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legjislacionit n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fuqi. </w:t>
      </w:r>
    </w:p>
    <w:p w14:paraId="15434296" w14:textId="58834F6A" w:rsidR="00965762" w:rsidRPr="004F488D" w:rsidRDefault="00965762" w:rsidP="0056008C">
      <w:pPr>
        <w:pStyle w:val="ListParagraph"/>
        <w:numPr>
          <w:ilvl w:val="0"/>
          <w:numId w:val="25"/>
        </w:numPr>
        <w:tabs>
          <w:tab w:val="left" w:pos="142"/>
        </w:tabs>
        <w:spacing w:line="276" w:lineRule="auto"/>
        <w:jc w:val="both"/>
        <w:rPr>
          <w:rFonts w:ascii="Times New Roman" w:eastAsia="Calibri" w:hAnsi="Times New Roman"/>
          <w:bCs/>
          <w:lang w:val="sq-AL"/>
        </w:rPr>
      </w:pPr>
      <w:r w:rsidRPr="004F488D">
        <w:rPr>
          <w:rFonts w:ascii="Times New Roman" w:eastAsia="Calibri" w:hAnsi="Times New Roman"/>
          <w:bCs/>
          <w:lang w:val="sq-AL"/>
        </w:rPr>
        <w:t>Ka detyrim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lejoj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KESH q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realizoj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gjith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proceset e nevojshme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</w:t>
      </w:r>
      <w:proofErr w:type="spellStart"/>
      <w:r w:rsidRPr="004F488D">
        <w:rPr>
          <w:rFonts w:ascii="Times New Roman" w:eastAsia="Calibri" w:hAnsi="Times New Roman"/>
          <w:bCs/>
          <w:lang w:val="sq-AL"/>
        </w:rPr>
        <w:t>kampionimit</w:t>
      </w:r>
      <w:proofErr w:type="spellEnd"/>
      <w:r w:rsidRPr="004F488D">
        <w:rPr>
          <w:rFonts w:ascii="Times New Roman" w:eastAsia="Calibri" w:hAnsi="Times New Roman"/>
          <w:bCs/>
          <w:lang w:val="sq-AL"/>
        </w:rPr>
        <w:t>, kontrollit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</w:t>
      </w:r>
      <w:r w:rsidR="0035175A" w:rsidRPr="004F488D">
        <w:rPr>
          <w:rFonts w:ascii="Times New Roman" w:eastAsia="Calibri" w:hAnsi="Times New Roman"/>
          <w:bCs/>
          <w:lang w:val="sq-AL"/>
        </w:rPr>
        <w:t>cilësisë</w:t>
      </w:r>
      <w:r w:rsidRPr="004F488D">
        <w:rPr>
          <w:rFonts w:ascii="Times New Roman" w:eastAsia="Calibri" w:hAnsi="Times New Roman"/>
          <w:bCs/>
          <w:lang w:val="sq-AL"/>
        </w:rPr>
        <w:t xml:space="preserve"> dhe gjith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procedurat e nevojshme p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garantuar cil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sin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e sh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rbimit dhe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produktit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ofruar. </w:t>
      </w:r>
    </w:p>
    <w:p w14:paraId="169FB5D6" w14:textId="6972BF4F" w:rsidR="00965762" w:rsidRPr="004F488D" w:rsidRDefault="00965762" w:rsidP="0056008C">
      <w:pPr>
        <w:pStyle w:val="ListParagraph"/>
        <w:numPr>
          <w:ilvl w:val="0"/>
          <w:numId w:val="25"/>
        </w:numPr>
        <w:tabs>
          <w:tab w:val="left" w:pos="142"/>
        </w:tabs>
        <w:spacing w:line="276" w:lineRule="auto"/>
        <w:jc w:val="both"/>
        <w:rPr>
          <w:rFonts w:ascii="Times New Roman" w:eastAsia="Calibri" w:hAnsi="Times New Roman"/>
          <w:bCs/>
          <w:lang w:val="sq-AL"/>
        </w:rPr>
      </w:pPr>
      <w:r w:rsidRPr="004F488D">
        <w:rPr>
          <w:rFonts w:ascii="Times New Roman" w:eastAsia="Calibri" w:hAnsi="Times New Roman"/>
          <w:bCs/>
          <w:lang w:val="sq-AL"/>
        </w:rPr>
        <w:t>Ka detyrim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p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rmbush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çdo term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parashikuar n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k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to </w:t>
      </w:r>
      <w:r w:rsidR="0035175A" w:rsidRPr="004F488D">
        <w:rPr>
          <w:rFonts w:ascii="Times New Roman" w:eastAsia="Calibri" w:hAnsi="Times New Roman"/>
          <w:bCs/>
          <w:lang w:val="sq-AL"/>
        </w:rPr>
        <w:t>dokumente</w:t>
      </w:r>
      <w:r w:rsidRPr="004F488D">
        <w:rPr>
          <w:rFonts w:ascii="Times New Roman" w:eastAsia="Calibri" w:hAnsi="Times New Roman"/>
          <w:bCs/>
          <w:lang w:val="sq-AL"/>
        </w:rPr>
        <w:t xml:space="preserve"> tenderi pa i modifikuar, p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rshtatur apo neglizhuar. </w:t>
      </w:r>
    </w:p>
    <w:p w14:paraId="244B1928" w14:textId="390CB378" w:rsidR="00760D45" w:rsidRPr="004F488D" w:rsidRDefault="005F4767" w:rsidP="00760D4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Times New Roman" w:eastAsiaTheme="minorEastAsia" w:hAnsi="Times New Roman"/>
          <w:bCs/>
          <w:lang w:val="sq-AL"/>
        </w:rPr>
      </w:pPr>
      <w:r w:rsidRPr="004F488D">
        <w:rPr>
          <w:rFonts w:ascii="Times New Roman" w:eastAsiaTheme="minorEastAsia" w:hAnsi="Times New Roman"/>
          <w:bCs/>
          <w:lang w:val="sq-AL"/>
        </w:rPr>
        <w:lastRenderedPageBreak/>
        <w:t>Ka detyrim t</w:t>
      </w:r>
      <w:r w:rsidR="00724363" w:rsidRPr="004F488D">
        <w:rPr>
          <w:rFonts w:ascii="Times New Roman" w:eastAsiaTheme="minorEastAsia" w:hAnsi="Times New Roman"/>
          <w:bCs/>
          <w:lang w:val="sq-AL"/>
        </w:rPr>
        <w:t>ë</w:t>
      </w:r>
      <w:r w:rsidRPr="004F488D">
        <w:rPr>
          <w:rFonts w:ascii="Times New Roman" w:eastAsiaTheme="minorEastAsia" w:hAnsi="Times New Roman"/>
          <w:bCs/>
          <w:lang w:val="sq-AL"/>
        </w:rPr>
        <w:t xml:space="preserve"> garantoj</w:t>
      </w:r>
      <w:r w:rsidR="00724363" w:rsidRPr="004F488D">
        <w:rPr>
          <w:rFonts w:ascii="Times New Roman" w:eastAsiaTheme="minorEastAsia" w:hAnsi="Times New Roman"/>
          <w:bCs/>
          <w:lang w:val="sq-AL"/>
        </w:rPr>
        <w:t>ë</w:t>
      </w:r>
      <w:r w:rsidRPr="004F488D">
        <w:rPr>
          <w:rFonts w:ascii="Times New Roman" w:eastAsiaTheme="minorEastAsia" w:hAnsi="Times New Roman"/>
          <w:bCs/>
          <w:lang w:val="sq-AL"/>
        </w:rPr>
        <w:t xml:space="preserve"> lidhjen </w:t>
      </w:r>
      <w:r w:rsidR="00760D45" w:rsidRPr="004F488D">
        <w:rPr>
          <w:rFonts w:ascii="Times New Roman" w:eastAsiaTheme="minorEastAsia" w:hAnsi="Times New Roman"/>
          <w:bCs/>
          <w:lang w:val="sq-AL"/>
        </w:rPr>
        <w:t>me pikën e shkarkimit të lëndës djegëse</w:t>
      </w:r>
      <w:r w:rsidRPr="004F488D">
        <w:rPr>
          <w:rFonts w:ascii="Times New Roman" w:eastAsiaTheme="minorEastAsia" w:hAnsi="Times New Roman"/>
          <w:bCs/>
          <w:lang w:val="sq-AL"/>
        </w:rPr>
        <w:t>.</w:t>
      </w:r>
    </w:p>
    <w:p w14:paraId="7010C9B4" w14:textId="5BB80508" w:rsidR="00760D45" w:rsidRPr="004F488D" w:rsidRDefault="005F4767" w:rsidP="00760D4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Times New Roman" w:eastAsiaTheme="minorEastAsia" w:hAnsi="Times New Roman"/>
          <w:bCs/>
          <w:lang w:val="sq-AL"/>
        </w:rPr>
      </w:pPr>
      <w:r w:rsidRPr="004F488D">
        <w:rPr>
          <w:rFonts w:ascii="Times New Roman" w:eastAsiaTheme="minorEastAsia" w:hAnsi="Times New Roman"/>
          <w:bCs/>
          <w:lang w:val="sq-AL"/>
        </w:rPr>
        <w:t>Ka detyrim t</w:t>
      </w:r>
      <w:r w:rsidR="00724363" w:rsidRPr="004F488D">
        <w:rPr>
          <w:rFonts w:ascii="Times New Roman" w:eastAsiaTheme="minorEastAsia" w:hAnsi="Times New Roman"/>
          <w:bCs/>
          <w:lang w:val="sq-AL"/>
        </w:rPr>
        <w:t>ë</w:t>
      </w:r>
      <w:r w:rsidRPr="004F488D">
        <w:rPr>
          <w:rFonts w:ascii="Times New Roman" w:eastAsiaTheme="minorEastAsia" w:hAnsi="Times New Roman"/>
          <w:bCs/>
          <w:lang w:val="sq-AL"/>
        </w:rPr>
        <w:t xml:space="preserve"> garantoj</w:t>
      </w:r>
      <w:r w:rsidR="00724363" w:rsidRPr="004F488D">
        <w:rPr>
          <w:rFonts w:ascii="Times New Roman" w:eastAsiaTheme="minorEastAsia" w:hAnsi="Times New Roman"/>
          <w:bCs/>
          <w:lang w:val="sq-AL"/>
        </w:rPr>
        <w:t>ë</w:t>
      </w:r>
      <w:r w:rsidRPr="004F488D">
        <w:rPr>
          <w:rFonts w:ascii="Times New Roman" w:eastAsiaTheme="minorEastAsia" w:hAnsi="Times New Roman"/>
          <w:bCs/>
          <w:lang w:val="sq-AL"/>
        </w:rPr>
        <w:t xml:space="preserve"> respektimin </w:t>
      </w:r>
      <w:r w:rsidR="00760D45" w:rsidRPr="004F488D">
        <w:rPr>
          <w:rFonts w:ascii="Times New Roman" w:eastAsiaTheme="minorEastAsia" w:hAnsi="Times New Roman"/>
          <w:bCs/>
          <w:lang w:val="sq-AL"/>
        </w:rPr>
        <w:t>e rregullave teknike dhe të sigurisë përgjatë transportit të lëndës dhe shkarkimit të saj në vendin e përdorimit;</w:t>
      </w:r>
    </w:p>
    <w:p w14:paraId="72222DFC" w14:textId="796008A2" w:rsidR="00760D45" w:rsidRPr="004F488D" w:rsidRDefault="005F4767" w:rsidP="00760D45">
      <w:pPr>
        <w:pStyle w:val="ListParagraph"/>
        <w:numPr>
          <w:ilvl w:val="0"/>
          <w:numId w:val="25"/>
        </w:numPr>
        <w:tabs>
          <w:tab w:val="left" w:pos="142"/>
        </w:tabs>
        <w:spacing w:line="276" w:lineRule="auto"/>
        <w:jc w:val="both"/>
        <w:rPr>
          <w:rFonts w:ascii="Times New Roman" w:eastAsia="Calibri" w:hAnsi="Times New Roman"/>
          <w:bCs/>
          <w:lang w:val="sq-AL"/>
        </w:rPr>
      </w:pPr>
      <w:r w:rsidRPr="004F488D">
        <w:rPr>
          <w:rFonts w:ascii="Times New Roman" w:eastAsiaTheme="minorEastAsia" w:hAnsi="Times New Roman"/>
          <w:bCs/>
          <w:lang w:val="sq-AL"/>
        </w:rPr>
        <w:t>Ka detyrim t</w:t>
      </w:r>
      <w:r w:rsidR="00724363" w:rsidRPr="004F488D">
        <w:rPr>
          <w:rFonts w:ascii="Times New Roman" w:eastAsiaTheme="minorEastAsia" w:hAnsi="Times New Roman"/>
          <w:bCs/>
          <w:lang w:val="sq-AL"/>
        </w:rPr>
        <w:t>ë</w:t>
      </w:r>
      <w:r w:rsidRPr="004F488D">
        <w:rPr>
          <w:rFonts w:ascii="Times New Roman" w:eastAsiaTheme="minorEastAsia" w:hAnsi="Times New Roman"/>
          <w:bCs/>
          <w:lang w:val="sq-AL"/>
        </w:rPr>
        <w:t xml:space="preserve"> garantoj</w:t>
      </w:r>
      <w:r w:rsidR="00724363" w:rsidRPr="004F488D">
        <w:rPr>
          <w:rFonts w:ascii="Times New Roman" w:eastAsiaTheme="minorEastAsia" w:hAnsi="Times New Roman"/>
          <w:bCs/>
          <w:lang w:val="sq-AL"/>
        </w:rPr>
        <w:t>ë</w:t>
      </w:r>
      <w:r w:rsidRPr="004F488D">
        <w:rPr>
          <w:rFonts w:ascii="Times New Roman" w:eastAsiaTheme="minorEastAsia" w:hAnsi="Times New Roman"/>
          <w:bCs/>
          <w:lang w:val="sq-AL"/>
        </w:rPr>
        <w:t xml:space="preserve"> sigurimin </w:t>
      </w:r>
      <w:r w:rsidR="00760D45" w:rsidRPr="004F488D">
        <w:rPr>
          <w:rFonts w:ascii="Times New Roman" w:eastAsiaTheme="minorEastAsia" w:hAnsi="Times New Roman"/>
          <w:bCs/>
          <w:lang w:val="sq-AL"/>
        </w:rPr>
        <w:t xml:space="preserve">e </w:t>
      </w:r>
      <w:proofErr w:type="spellStart"/>
      <w:r w:rsidR="00760D45" w:rsidRPr="004F488D">
        <w:rPr>
          <w:rFonts w:ascii="Times New Roman" w:eastAsiaTheme="minorEastAsia" w:hAnsi="Times New Roman"/>
          <w:bCs/>
          <w:lang w:val="sq-AL"/>
        </w:rPr>
        <w:t>impaktit</w:t>
      </w:r>
      <w:proofErr w:type="spellEnd"/>
      <w:r w:rsidR="00760D45" w:rsidRPr="004F488D">
        <w:rPr>
          <w:rFonts w:ascii="Times New Roman" w:eastAsiaTheme="minorEastAsia" w:hAnsi="Times New Roman"/>
          <w:bCs/>
          <w:lang w:val="sq-AL"/>
        </w:rPr>
        <w:t xml:space="preserve"> në mjedis përgjatë procesit të transportit kur dërgesa ka </w:t>
      </w:r>
      <w:proofErr w:type="spellStart"/>
      <w:r w:rsidR="00760D45" w:rsidRPr="004F488D">
        <w:rPr>
          <w:rFonts w:ascii="Times New Roman" w:eastAsiaTheme="minorEastAsia" w:hAnsi="Times New Roman"/>
          <w:bCs/>
          <w:lang w:val="sq-AL"/>
        </w:rPr>
        <w:t>destinancion</w:t>
      </w:r>
      <w:proofErr w:type="spellEnd"/>
      <w:r w:rsidR="00760D45" w:rsidRPr="004F488D">
        <w:rPr>
          <w:rFonts w:ascii="Times New Roman" w:eastAsiaTheme="minorEastAsia" w:hAnsi="Times New Roman"/>
          <w:bCs/>
          <w:lang w:val="sq-AL"/>
        </w:rPr>
        <w:t xml:space="preserve"> furnizimin e </w:t>
      </w:r>
      <w:r w:rsidR="000B3803" w:rsidRPr="004F488D">
        <w:rPr>
          <w:rFonts w:ascii="Times New Roman" w:eastAsiaTheme="minorEastAsia" w:hAnsi="Times New Roman"/>
          <w:bCs/>
          <w:lang w:val="sq-AL"/>
        </w:rPr>
        <w:t>KESH sha</w:t>
      </w:r>
      <w:r w:rsidR="00760D45" w:rsidRPr="004F488D">
        <w:rPr>
          <w:rFonts w:ascii="Times New Roman" w:eastAsiaTheme="minorEastAsia" w:hAnsi="Times New Roman"/>
          <w:bCs/>
          <w:lang w:val="sq-AL"/>
        </w:rPr>
        <w:t>.</w:t>
      </w:r>
    </w:p>
    <w:p w14:paraId="6EF67BC5" w14:textId="3277E188" w:rsidR="0035175A" w:rsidRPr="004F488D" w:rsidRDefault="0035175A">
      <w:pPr>
        <w:pStyle w:val="ListParagraph"/>
        <w:numPr>
          <w:ilvl w:val="0"/>
          <w:numId w:val="25"/>
        </w:numPr>
        <w:tabs>
          <w:tab w:val="left" w:pos="142"/>
        </w:tabs>
        <w:spacing w:line="276" w:lineRule="auto"/>
        <w:jc w:val="both"/>
        <w:rPr>
          <w:rFonts w:ascii="Times New Roman" w:eastAsia="Calibri" w:hAnsi="Times New Roman"/>
          <w:bCs/>
          <w:lang w:val="sq-AL"/>
        </w:rPr>
      </w:pPr>
      <w:r w:rsidRPr="004F488D">
        <w:rPr>
          <w:rFonts w:ascii="Times New Roman" w:eastAsia="Calibri" w:hAnsi="Times New Roman"/>
          <w:bCs/>
          <w:lang w:val="sq-AL"/>
        </w:rPr>
        <w:t xml:space="preserve">Të përmbushë të gjitha kërkesat teknike të parashikuara në pikën 3 të këtyre dokumenteve. </w:t>
      </w:r>
    </w:p>
    <w:p w14:paraId="243FE815" w14:textId="11067928" w:rsidR="00887E6E" w:rsidRPr="004F488D" w:rsidRDefault="00F9679C" w:rsidP="00760D45">
      <w:pPr>
        <w:pStyle w:val="Heading1"/>
        <w:rPr>
          <w:rFonts w:eastAsia="Times New Roman"/>
          <w:color w:val="auto"/>
        </w:rPr>
      </w:pPr>
      <w:r w:rsidRPr="004F488D">
        <w:rPr>
          <w:rFonts w:eastAsia="Times New Roman"/>
          <w:color w:val="auto"/>
        </w:rPr>
        <w:t>MËNYRA E OFERTIMIT</w:t>
      </w:r>
      <w:r w:rsidR="00887E6E" w:rsidRPr="004F488D">
        <w:rPr>
          <w:rFonts w:eastAsia="Times New Roman"/>
          <w:color w:val="auto"/>
        </w:rPr>
        <w:t xml:space="preserve">, SASITË DHE </w:t>
      </w:r>
      <w:r w:rsidR="00B9415C" w:rsidRPr="004F488D">
        <w:rPr>
          <w:rFonts w:eastAsia="Times New Roman"/>
          <w:color w:val="auto"/>
        </w:rPr>
        <w:t>SKEDULI I NGARKESËS</w:t>
      </w:r>
    </w:p>
    <w:p w14:paraId="29B96743" w14:textId="35E1C6EA" w:rsidR="00887E6E" w:rsidRPr="004F488D" w:rsidRDefault="005F4767" w:rsidP="00B941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Sasia do t</w:t>
      </w:r>
      <w:r w:rsidR="00724363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sigurohet dhe l</w:t>
      </w:r>
      <w:r w:rsidR="00724363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vrohet me nj</w:t>
      </w:r>
      <w:r w:rsidR="00724363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ngarkes</w:t>
      </w:r>
      <w:r w:rsidR="00724363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t</w:t>
      </w:r>
      <w:r w:rsidR="00724363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vetm</w:t>
      </w:r>
      <w:r w:rsidR="004447CB" w:rsidRPr="004F488D">
        <w:rPr>
          <w:rFonts w:ascii="Times New Roman" w:eastAsiaTheme="minorEastAsia" w:hAnsi="Times New Roman" w:cs="Times New Roman"/>
          <w:bCs/>
          <w:sz w:val="24"/>
          <w:szCs w:val="24"/>
        </w:rPr>
        <w:t>e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sipas sasisë se përcaktuar n</w:t>
      </w:r>
      <w:r w:rsidR="00724363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pik</w:t>
      </w:r>
      <w:r w:rsidR="00724363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n 3.</w:t>
      </w:r>
    </w:p>
    <w:p w14:paraId="2BDDEF37" w14:textId="77777777" w:rsidR="005B27C4" w:rsidRPr="004F488D" w:rsidRDefault="005B27C4" w:rsidP="00B941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5FB3BDBE" w14:textId="19D8C2B6" w:rsidR="00B9415C" w:rsidRPr="004F488D" w:rsidRDefault="00B9415C" w:rsidP="00B941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Operator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t ekonomik q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do t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klasifikohen si t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suksessh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m p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r plot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simin e </w:t>
      </w:r>
      <w:r w:rsidR="006E2C06" w:rsidRPr="004F488D">
        <w:rPr>
          <w:rFonts w:ascii="Times New Roman" w:eastAsiaTheme="minorEastAsia" w:hAnsi="Times New Roman" w:cs="Times New Roman"/>
          <w:bCs/>
          <w:sz w:val="24"/>
          <w:szCs w:val="24"/>
        </w:rPr>
        <w:t>kritereve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t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kualifikimit </w:t>
      </w:r>
      <w:r w:rsidRPr="004F488D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(dokumenti Kriteret e </w:t>
      </w:r>
      <w:proofErr w:type="spellStart"/>
      <w:r w:rsidRPr="004F488D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Kualifikmit</w:t>
      </w:r>
      <w:proofErr w:type="spellEnd"/>
      <w:r w:rsidRPr="004F488D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) 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duhet t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ofertojn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n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p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rmjet metodologjis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s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m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poshtme:</w:t>
      </w:r>
    </w:p>
    <w:p w14:paraId="2FBAB4F0" w14:textId="359DFC5E" w:rsidR="00B9415C" w:rsidRPr="004F488D" w:rsidRDefault="00B9415C" w:rsidP="00B9415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/>
          <w:bCs/>
          <w:lang w:val="sq-AL"/>
        </w:rPr>
      </w:pPr>
      <w:r w:rsidRPr="004F488D">
        <w:rPr>
          <w:rFonts w:ascii="Times New Roman" w:eastAsiaTheme="minorEastAsia" w:hAnsi="Times New Roman"/>
          <w:bCs/>
          <w:lang w:val="sq-AL"/>
        </w:rPr>
        <w:t>P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Pr="004F488D">
        <w:rPr>
          <w:rFonts w:ascii="Times New Roman" w:eastAsiaTheme="minorEastAsia" w:hAnsi="Times New Roman"/>
          <w:bCs/>
          <w:lang w:val="sq-AL"/>
        </w:rPr>
        <w:t xml:space="preserve">r </w:t>
      </w:r>
      <w:r w:rsidR="006E2C06" w:rsidRPr="004F488D">
        <w:rPr>
          <w:rFonts w:ascii="Times New Roman" w:eastAsiaTheme="minorEastAsia" w:hAnsi="Times New Roman"/>
          <w:bCs/>
          <w:lang w:val="sq-AL"/>
        </w:rPr>
        <w:t>lëndën</w:t>
      </w:r>
      <w:r w:rsidRPr="004F488D">
        <w:rPr>
          <w:rFonts w:ascii="Times New Roman" w:eastAsiaTheme="minorEastAsia" w:hAnsi="Times New Roman"/>
          <w:bCs/>
          <w:lang w:val="sq-AL"/>
        </w:rPr>
        <w:t xml:space="preserve"> djeg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Pr="004F488D">
        <w:rPr>
          <w:rFonts w:ascii="Times New Roman" w:eastAsiaTheme="minorEastAsia" w:hAnsi="Times New Roman"/>
          <w:bCs/>
          <w:lang w:val="sq-AL"/>
        </w:rPr>
        <w:t>se çmim baz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="00887E6E" w:rsidRPr="004F488D">
        <w:rPr>
          <w:rFonts w:ascii="Times New Roman" w:eastAsiaTheme="minorEastAsia" w:hAnsi="Times New Roman"/>
          <w:bCs/>
          <w:lang w:val="sq-AL"/>
        </w:rPr>
        <w:t xml:space="preserve"> /ton</w:t>
      </w:r>
      <w:r w:rsidRPr="004F488D">
        <w:rPr>
          <w:rFonts w:ascii="Times New Roman" w:eastAsiaTheme="minorEastAsia" w:hAnsi="Times New Roman"/>
          <w:bCs/>
          <w:lang w:val="sq-AL"/>
        </w:rPr>
        <w:t xml:space="preserve"> reference </w:t>
      </w:r>
      <w:r w:rsidRPr="004F488D">
        <w:rPr>
          <w:rFonts w:ascii="Times New Roman" w:eastAsiaTheme="minorEastAsia" w:hAnsi="Times New Roman"/>
          <w:lang w:val="sq-AL"/>
        </w:rPr>
        <w:t>t</w:t>
      </w:r>
      <w:r w:rsidR="002D603C" w:rsidRPr="004F488D">
        <w:rPr>
          <w:rFonts w:ascii="Times New Roman" w:eastAsiaTheme="minorEastAsia" w:hAnsi="Times New Roman"/>
          <w:lang w:val="sq-AL"/>
        </w:rPr>
        <w:t>ë</w:t>
      </w:r>
      <w:r w:rsidRPr="004F488D">
        <w:rPr>
          <w:rFonts w:ascii="Times New Roman" w:eastAsiaTheme="minorEastAsia" w:hAnsi="Times New Roman"/>
          <w:lang w:val="sq-AL"/>
        </w:rPr>
        <w:t xml:space="preserve"> </w:t>
      </w:r>
      <w:r w:rsidR="008F4758" w:rsidRPr="004F488D">
        <w:rPr>
          <w:rFonts w:ascii="Times New Roman" w:eastAsiaTheme="minorEastAsia" w:hAnsi="Times New Roman"/>
          <w:lang w:val="sq-AL"/>
        </w:rPr>
        <w:t xml:space="preserve"> </w:t>
      </w:r>
      <w:proofErr w:type="spellStart"/>
      <w:r w:rsidR="008F4758" w:rsidRPr="004F488D">
        <w:rPr>
          <w:rFonts w:ascii="Times New Roman" w:hAnsi="Times New Roman"/>
          <w:bCs/>
          <w:shd w:val="clear" w:color="auto" w:fill="FFFFFF"/>
        </w:rPr>
        <w:t>ditës</w:t>
      </w:r>
      <w:proofErr w:type="spellEnd"/>
      <w:r w:rsidR="008F4758" w:rsidRPr="004F488D">
        <w:rPr>
          <w:rFonts w:ascii="Times New Roman" w:hAnsi="Times New Roman"/>
          <w:bCs/>
          <w:shd w:val="clear" w:color="auto" w:fill="FFFFFF"/>
        </w:rPr>
        <w:t xml:space="preserve"> </w:t>
      </w:r>
      <w:proofErr w:type="spellStart"/>
      <w:r w:rsidR="008F4758" w:rsidRPr="004F488D">
        <w:rPr>
          <w:rFonts w:ascii="Times New Roman" w:hAnsi="Times New Roman"/>
          <w:bCs/>
          <w:shd w:val="clear" w:color="auto" w:fill="FFFFFF"/>
        </w:rPr>
        <w:t>së</w:t>
      </w:r>
      <w:proofErr w:type="spellEnd"/>
      <w:r w:rsidR="008F4758" w:rsidRPr="004F488D">
        <w:rPr>
          <w:rFonts w:ascii="Times New Roman" w:hAnsi="Times New Roman"/>
          <w:bCs/>
          <w:shd w:val="clear" w:color="auto" w:fill="FFFFFF"/>
        </w:rPr>
        <w:t xml:space="preserve"> </w:t>
      </w:r>
      <w:proofErr w:type="spellStart"/>
      <w:r w:rsidR="008F4758" w:rsidRPr="004F488D">
        <w:rPr>
          <w:rFonts w:ascii="Times New Roman" w:hAnsi="Times New Roman"/>
          <w:bCs/>
          <w:shd w:val="clear" w:color="auto" w:fill="FFFFFF"/>
        </w:rPr>
        <w:t>Njoftimit</w:t>
      </w:r>
      <w:proofErr w:type="spellEnd"/>
      <w:r w:rsidR="008F4758" w:rsidRPr="004F488D">
        <w:rPr>
          <w:rFonts w:ascii="Times New Roman" w:hAnsi="Times New Roman"/>
          <w:bCs/>
          <w:shd w:val="clear" w:color="auto" w:fill="FFFFFF"/>
        </w:rPr>
        <w:t xml:space="preserve"> </w:t>
      </w:r>
      <w:proofErr w:type="spellStart"/>
      <w:r w:rsidR="008F4758" w:rsidRPr="004F488D">
        <w:rPr>
          <w:rFonts w:ascii="Times New Roman" w:hAnsi="Times New Roman"/>
          <w:bCs/>
          <w:shd w:val="clear" w:color="auto" w:fill="FFFFFF"/>
        </w:rPr>
        <w:t>të</w:t>
      </w:r>
      <w:proofErr w:type="spellEnd"/>
      <w:r w:rsidR="008F4758" w:rsidRPr="004F488D">
        <w:rPr>
          <w:rFonts w:ascii="Times New Roman" w:hAnsi="Times New Roman"/>
          <w:bCs/>
          <w:shd w:val="clear" w:color="auto" w:fill="FFFFFF"/>
        </w:rPr>
        <w:t xml:space="preserve"> </w:t>
      </w:r>
      <w:proofErr w:type="spellStart"/>
      <w:r w:rsidR="008F4758" w:rsidRPr="004F488D">
        <w:rPr>
          <w:rFonts w:ascii="Times New Roman" w:hAnsi="Times New Roman"/>
          <w:bCs/>
          <w:shd w:val="clear" w:color="auto" w:fill="FFFFFF"/>
        </w:rPr>
        <w:t>gatishmërisë</w:t>
      </w:r>
      <w:proofErr w:type="spellEnd"/>
      <w:r w:rsidR="008F4758" w:rsidRPr="004F488D">
        <w:rPr>
          <w:rFonts w:ascii="Times New Roman" w:hAnsi="Times New Roman"/>
          <w:bCs/>
          <w:shd w:val="clear" w:color="auto" w:fill="FFFFFF"/>
        </w:rPr>
        <w:t xml:space="preserve"> (Notice of Readine</w:t>
      </w:r>
      <w:r w:rsidR="00724363" w:rsidRPr="004F488D">
        <w:rPr>
          <w:rFonts w:ascii="Times New Roman" w:hAnsi="Times New Roman"/>
          <w:bCs/>
          <w:shd w:val="clear" w:color="auto" w:fill="FFFFFF"/>
        </w:rPr>
        <w:t>s</w:t>
      </w:r>
      <w:r w:rsidR="008F4758" w:rsidRPr="004F488D">
        <w:rPr>
          <w:rFonts w:ascii="Times New Roman" w:hAnsi="Times New Roman"/>
          <w:bCs/>
          <w:shd w:val="clear" w:color="auto" w:fill="FFFFFF"/>
        </w:rPr>
        <w:t xml:space="preserve">s, </w:t>
      </w:r>
      <w:proofErr w:type="spellStart"/>
      <w:r w:rsidR="008F4758" w:rsidRPr="004F488D">
        <w:rPr>
          <w:rFonts w:ascii="Times New Roman" w:hAnsi="Times New Roman"/>
          <w:bCs/>
          <w:shd w:val="clear" w:color="auto" w:fill="FFFFFF"/>
        </w:rPr>
        <w:t>NoR</w:t>
      </w:r>
      <w:proofErr w:type="spellEnd"/>
      <w:r w:rsidR="008F4758" w:rsidRPr="004F488D">
        <w:rPr>
          <w:rFonts w:ascii="Times New Roman" w:hAnsi="Times New Roman"/>
          <w:bCs/>
          <w:shd w:val="clear" w:color="auto" w:fill="FFFFFF"/>
        </w:rPr>
        <w:t xml:space="preserve">) </w:t>
      </w:r>
      <w:proofErr w:type="spellStart"/>
      <w:r w:rsidR="008F4758" w:rsidRPr="004F488D">
        <w:rPr>
          <w:rFonts w:ascii="Times New Roman" w:hAnsi="Times New Roman"/>
          <w:bCs/>
          <w:shd w:val="clear" w:color="auto" w:fill="FFFFFF"/>
        </w:rPr>
        <w:t>të</w:t>
      </w:r>
      <w:proofErr w:type="spellEnd"/>
      <w:r w:rsidR="008F4758" w:rsidRPr="004F488D">
        <w:rPr>
          <w:rFonts w:ascii="Times New Roman" w:hAnsi="Times New Roman"/>
          <w:bCs/>
          <w:shd w:val="clear" w:color="auto" w:fill="FFFFFF"/>
        </w:rPr>
        <w:t xml:space="preserve"> </w:t>
      </w:r>
      <w:proofErr w:type="spellStart"/>
      <w:r w:rsidR="008F4758" w:rsidRPr="004F488D">
        <w:rPr>
          <w:rFonts w:ascii="Times New Roman" w:hAnsi="Times New Roman"/>
          <w:bCs/>
          <w:shd w:val="clear" w:color="auto" w:fill="FFFFFF"/>
        </w:rPr>
        <w:t>transportuesit</w:t>
      </w:r>
      <w:proofErr w:type="spellEnd"/>
      <w:r w:rsidR="008F4758" w:rsidRPr="004F488D">
        <w:rPr>
          <w:rFonts w:ascii="Times New Roman" w:hAnsi="Times New Roman"/>
          <w:bCs/>
          <w:shd w:val="clear" w:color="auto" w:fill="FFFFFF"/>
        </w:rPr>
        <w:t xml:space="preserve"> </w:t>
      </w:r>
      <w:proofErr w:type="spellStart"/>
      <w:r w:rsidR="008F4758" w:rsidRPr="004F488D">
        <w:rPr>
          <w:rFonts w:ascii="Times New Roman" w:hAnsi="Times New Roman"/>
          <w:bCs/>
          <w:shd w:val="clear" w:color="auto" w:fill="FFFFFF"/>
        </w:rPr>
        <w:t>të</w:t>
      </w:r>
      <w:proofErr w:type="spellEnd"/>
      <w:r w:rsidR="008F4758" w:rsidRPr="004F488D">
        <w:rPr>
          <w:rFonts w:ascii="Times New Roman" w:hAnsi="Times New Roman"/>
          <w:bCs/>
          <w:shd w:val="clear" w:color="auto" w:fill="FFFFFF"/>
        </w:rPr>
        <w:t xml:space="preserve"> </w:t>
      </w:r>
      <w:proofErr w:type="spellStart"/>
      <w:r w:rsidR="008F4758" w:rsidRPr="004F488D">
        <w:rPr>
          <w:rFonts w:ascii="Times New Roman" w:hAnsi="Times New Roman"/>
          <w:bCs/>
          <w:shd w:val="clear" w:color="auto" w:fill="FFFFFF"/>
        </w:rPr>
        <w:t>lëndës</w:t>
      </w:r>
      <w:proofErr w:type="spellEnd"/>
      <w:r w:rsidR="008F4758" w:rsidRPr="004F488D">
        <w:rPr>
          <w:rFonts w:ascii="Times New Roman" w:hAnsi="Times New Roman"/>
          <w:bCs/>
          <w:shd w:val="clear" w:color="auto" w:fill="FFFFFF"/>
        </w:rPr>
        <w:t xml:space="preserve"> </w:t>
      </w:r>
      <w:r w:rsidRPr="004F488D">
        <w:rPr>
          <w:rFonts w:ascii="Times New Roman" w:eastAsiaTheme="minorEastAsia" w:hAnsi="Times New Roman"/>
          <w:bCs/>
          <w:lang w:val="sq-AL"/>
        </w:rPr>
        <w:t xml:space="preserve">S&amp;P </w:t>
      </w:r>
      <w:proofErr w:type="spellStart"/>
      <w:r w:rsidRPr="004F488D">
        <w:rPr>
          <w:rFonts w:ascii="Times New Roman" w:eastAsiaTheme="minorEastAsia" w:hAnsi="Times New Roman"/>
          <w:bCs/>
          <w:lang w:val="sq-AL"/>
        </w:rPr>
        <w:t>Platts</w:t>
      </w:r>
      <w:proofErr w:type="spellEnd"/>
      <w:r w:rsidRPr="004F488D">
        <w:rPr>
          <w:rFonts w:ascii="Times New Roman" w:eastAsiaTheme="minorEastAsia" w:hAnsi="Times New Roman"/>
          <w:bCs/>
          <w:lang w:val="sq-AL"/>
        </w:rPr>
        <w:t xml:space="preserve"> Global / </w:t>
      </w:r>
      <w:proofErr w:type="spellStart"/>
      <w:r w:rsidRPr="004F488D">
        <w:rPr>
          <w:rFonts w:ascii="Times New Roman" w:eastAsiaTheme="minorEastAsia" w:hAnsi="Times New Roman"/>
          <w:bCs/>
          <w:lang w:val="sq-AL"/>
        </w:rPr>
        <w:t>Commodities</w:t>
      </w:r>
      <w:proofErr w:type="spellEnd"/>
      <w:r w:rsidRPr="004F488D">
        <w:rPr>
          <w:rFonts w:ascii="Times New Roman" w:eastAsiaTheme="minorEastAsia" w:hAnsi="Times New Roman"/>
          <w:bCs/>
          <w:lang w:val="sq-AL"/>
        </w:rPr>
        <w:t xml:space="preserve"> / </w:t>
      </w:r>
      <w:r w:rsidR="005B27C4" w:rsidRPr="004F488D">
        <w:rPr>
          <w:rFonts w:ascii="Times New Roman" w:eastAsiaTheme="minorEastAsia" w:hAnsi="Times New Roman"/>
          <w:bCs/>
          <w:lang w:val="sq-AL"/>
        </w:rPr>
        <w:t xml:space="preserve">Marine </w:t>
      </w:r>
      <w:proofErr w:type="spellStart"/>
      <w:r w:rsidR="005B27C4" w:rsidRPr="004F488D">
        <w:rPr>
          <w:rFonts w:ascii="Times New Roman" w:eastAsiaTheme="minorEastAsia" w:hAnsi="Times New Roman"/>
          <w:bCs/>
          <w:lang w:val="sq-AL"/>
        </w:rPr>
        <w:t>Fuel</w:t>
      </w:r>
      <w:proofErr w:type="spellEnd"/>
      <w:r w:rsidR="005B27C4" w:rsidRPr="004F488D">
        <w:rPr>
          <w:rFonts w:ascii="Times New Roman" w:eastAsiaTheme="minorEastAsia" w:hAnsi="Times New Roman"/>
          <w:bCs/>
          <w:lang w:val="sq-AL"/>
        </w:rPr>
        <w:t xml:space="preserve"> Oil 0.5%. </w:t>
      </w:r>
      <w:r w:rsidR="0016485E" w:rsidRPr="004F488D">
        <w:rPr>
          <w:rFonts w:ascii="Times New Roman" w:eastAsiaTheme="minorEastAsia" w:hAnsi="Times New Roman"/>
          <w:bCs/>
          <w:lang w:val="sq-AL"/>
        </w:rPr>
        <w:t>Lëndë djegëse me p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="0016485E" w:rsidRPr="004F488D">
        <w:rPr>
          <w:rFonts w:ascii="Times New Roman" w:eastAsiaTheme="minorEastAsia" w:hAnsi="Times New Roman"/>
          <w:bCs/>
          <w:lang w:val="sq-AL"/>
        </w:rPr>
        <w:t xml:space="preserve">rmbajtje sulfuri jo me tepër se 0.5 % ndaj peshës </w:t>
      </w:r>
      <w:r w:rsidR="000E582B" w:rsidRPr="004F488D">
        <w:rPr>
          <w:rFonts w:ascii="Times New Roman" w:eastAsiaTheme="minorEastAsia" w:hAnsi="Times New Roman"/>
          <w:bCs/>
          <w:lang w:val="sq-AL"/>
        </w:rPr>
        <w:t>DPU</w:t>
      </w:r>
      <w:r w:rsidR="0016485E" w:rsidRPr="004F488D">
        <w:rPr>
          <w:rFonts w:ascii="Times New Roman" w:eastAsiaTheme="minorEastAsia" w:hAnsi="Times New Roman"/>
          <w:bCs/>
          <w:lang w:val="sq-AL"/>
        </w:rPr>
        <w:t xml:space="preserve"> </w:t>
      </w:r>
      <w:r w:rsidR="00B24289" w:rsidRPr="004F488D">
        <w:rPr>
          <w:rFonts w:ascii="Times New Roman" w:eastAsiaTheme="minorEastAsia" w:hAnsi="Times New Roman"/>
          <w:bCs/>
          <w:lang w:val="sq-AL"/>
        </w:rPr>
        <w:t>MED</w:t>
      </w:r>
      <w:r w:rsidR="000E582B" w:rsidRPr="004F488D">
        <w:rPr>
          <w:rFonts w:ascii="Times New Roman" w:eastAsiaTheme="minorEastAsia" w:hAnsi="Times New Roman"/>
          <w:bCs/>
          <w:lang w:val="sq-AL"/>
        </w:rPr>
        <w:t xml:space="preserve"> </w:t>
      </w:r>
      <w:r w:rsidR="00887E6E" w:rsidRPr="004F488D">
        <w:rPr>
          <w:rFonts w:ascii="Times New Roman" w:eastAsiaTheme="minorEastAsia" w:hAnsi="Times New Roman"/>
          <w:bCs/>
          <w:lang w:val="sq-AL"/>
        </w:rPr>
        <w:t xml:space="preserve">(Marine </w:t>
      </w:r>
      <w:proofErr w:type="spellStart"/>
      <w:r w:rsidR="00887E6E" w:rsidRPr="004F488D">
        <w:rPr>
          <w:rFonts w:ascii="Times New Roman" w:eastAsiaTheme="minorEastAsia" w:hAnsi="Times New Roman"/>
          <w:bCs/>
          <w:lang w:val="sq-AL"/>
        </w:rPr>
        <w:t>Residual</w:t>
      </w:r>
      <w:proofErr w:type="spellEnd"/>
      <w:r w:rsidR="00887E6E" w:rsidRPr="004F488D">
        <w:rPr>
          <w:rFonts w:ascii="Times New Roman" w:eastAsiaTheme="minorEastAsia" w:hAnsi="Times New Roman"/>
          <w:bCs/>
          <w:lang w:val="sq-AL"/>
        </w:rPr>
        <w:t xml:space="preserve"> </w:t>
      </w:r>
      <w:proofErr w:type="spellStart"/>
      <w:r w:rsidR="00887E6E" w:rsidRPr="004F488D">
        <w:rPr>
          <w:rFonts w:ascii="Times New Roman" w:eastAsiaTheme="minorEastAsia" w:hAnsi="Times New Roman"/>
          <w:bCs/>
          <w:lang w:val="sq-AL"/>
        </w:rPr>
        <w:t>Fuels</w:t>
      </w:r>
      <w:proofErr w:type="spellEnd"/>
      <w:r w:rsidR="00887E6E" w:rsidRPr="004F488D">
        <w:rPr>
          <w:rFonts w:ascii="Times New Roman" w:eastAsiaTheme="minorEastAsia" w:hAnsi="Times New Roman"/>
          <w:bCs/>
          <w:lang w:val="sq-AL"/>
        </w:rPr>
        <w:t>, RME)</w:t>
      </w:r>
    </w:p>
    <w:p w14:paraId="01F5361E" w14:textId="6A451062" w:rsidR="00887E6E" w:rsidRPr="004F488D" w:rsidRDefault="0016485E" w:rsidP="00887E6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/>
          <w:bCs/>
          <w:lang w:val="sq-AL"/>
        </w:rPr>
      </w:pPr>
      <w:r w:rsidRPr="004F488D">
        <w:rPr>
          <w:rFonts w:ascii="Times New Roman" w:eastAsiaTheme="minorEastAsia" w:hAnsi="Times New Roman"/>
          <w:b/>
          <w:i/>
          <w:iCs/>
          <w:lang w:val="sq-AL"/>
        </w:rPr>
        <w:t>Premio</w:t>
      </w:r>
      <w:r w:rsidR="00887E6E" w:rsidRPr="004F488D">
        <w:rPr>
          <w:rFonts w:ascii="Times New Roman" w:eastAsiaTheme="minorEastAsia" w:hAnsi="Times New Roman"/>
          <w:b/>
          <w:i/>
          <w:iCs/>
          <w:lang w:val="sq-AL"/>
        </w:rPr>
        <w:t>_1 / ton</w:t>
      </w:r>
      <w:r w:rsidR="00887E6E" w:rsidRPr="004F488D">
        <w:rPr>
          <w:rFonts w:ascii="Times New Roman" w:eastAsiaTheme="minorEastAsia" w:hAnsi="Times New Roman"/>
          <w:bCs/>
          <w:lang w:val="sq-AL"/>
        </w:rPr>
        <w:t xml:space="preserve"> n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="00887E6E" w:rsidRPr="004F488D">
        <w:rPr>
          <w:rFonts w:ascii="Times New Roman" w:eastAsiaTheme="minorEastAsia" w:hAnsi="Times New Roman"/>
          <w:bCs/>
          <w:lang w:val="sq-AL"/>
        </w:rPr>
        <w:t>p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="00887E6E" w:rsidRPr="004F488D">
        <w:rPr>
          <w:rFonts w:ascii="Times New Roman" w:eastAsiaTheme="minorEastAsia" w:hAnsi="Times New Roman"/>
          <w:bCs/>
          <w:lang w:val="sq-AL"/>
        </w:rPr>
        <w:t>rmjet s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="00887E6E" w:rsidRPr="004F488D">
        <w:rPr>
          <w:rFonts w:ascii="Times New Roman" w:eastAsiaTheme="minorEastAsia" w:hAnsi="Times New Roman"/>
          <w:bCs/>
          <w:lang w:val="sq-AL"/>
        </w:rPr>
        <w:t xml:space="preserve"> cil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="00887E6E" w:rsidRPr="004F488D">
        <w:rPr>
          <w:rFonts w:ascii="Times New Roman" w:eastAsiaTheme="minorEastAsia" w:hAnsi="Times New Roman"/>
          <w:bCs/>
          <w:lang w:val="sq-AL"/>
        </w:rPr>
        <w:t>s duhet t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="00887E6E" w:rsidRPr="004F488D">
        <w:rPr>
          <w:rFonts w:ascii="Times New Roman" w:eastAsiaTheme="minorEastAsia" w:hAnsi="Times New Roman"/>
          <w:bCs/>
          <w:lang w:val="sq-AL"/>
        </w:rPr>
        <w:t xml:space="preserve"> mbulohen t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="00887E6E" w:rsidRPr="004F488D">
        <w:rPr>
          <w:rFonts w:ascii="Times New Roman" w:eastAsiaTheme="minorEastAsia" w:hAnsi="Times New Roman"/>
          <w:bCs/>
          <w:lang w:val="sq-AL"/>
        </w:rPr>
        <w:t xml:space="preserve"> gjitha shpenzimet p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="00887E6E" w:rsidRPr="004F488D">
        <w:rPr>
          <w:rFonts w:ascii="Times New Roman" w:eastAsiaTheme="minorEastAsia" w:hAnsi="Times New Roman"/>
          <w:bCs/>
          <w:lang w:val="sq-AL"/>
        </w:rPr>
        <w:t xml:space="preserve">r transportin, dhe/ose depozitimin, dhe/ose ngarkim – </w:t>
      </w:r>
      <w:r w:rsidR="002A3AB1" w:rsidRPr="004F488D">
        <w:rPr>
          <w:rFonts w:ascii="Times New Roman" w:eastAsiaTheme="minorEastAsia" w:hAnsi="Times New Roman"/>
          <w:bCs/>
          <w:lang w:val="sq-AL"/>
        </w:rPr>
        <w:t>shkarkimin</w:t>
      </w:r>
      <w:r w:rsidR="00887E6E" w:rsidRPr="004F488D">
        <w:rPr>
          <w:rFonts w:ascii="Times New Roman" w:eastAsiaTheme="minorEastAsia" w:hAnsi="Times New Roman"/>
          <w:bCs/>
          <w:lang w:val="sq-AL"/>
        </w:rPr>
        <w:t xml:space="preserve"> e l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="00887E6E" w:rsidRPr="004F488D">
        <w:rPr>
          <w:rFonts w:ascii="Times New Roman" w:eastAsiaTheme="minorEastAsia" w:hAnsi="Times New Roman"/>
          <w:bCs/>
          <w:lang w:val="sq-AL"/>
        </w:rPr>
        <w:t>nd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="00887E6E" w:rsidRPr="004F488D">
        <w:rPr>
          <w:rFonts w:ascii="Times New Roman" w:eastAsiaTheme="minorEastAsia" w:hAnsi="Times New Roman"/>
          <w:bCs/>
          <w:lang w:val="sq-AL"/>
        </w:rPr>
        <w:t xml:space="preserve">s, dhe/ose fitime/ shpenzime </w:t>
      </w:r>
      <w:proofErr w:type="spellStart"/>
      <w:r w:rsidR="00887E6E" w:rsidRPr="004F488D">
        <w:rPr>
          <w:rFonts w:ascii="Times New Roman" w:eastAsiaTheme="minorEastAsia" w:hAnsi="Times New Roman"/>
          <w:bCs/>
          <w:lang w:val="sq-AL"/>
        </w:rPr>
        <w:t>operacionale</w:t>
      </w:r>
      <w:proofErr w:type="spellEnd"/>
      <w:r w:rsidR="00887E6E" w:rsidRPr="004F488D">
        <w:rPr>
          <w:rFonts w:ascii="Times New Roman" w:eastAsiaTheme="minorEastAsia" w:hAnsi="Times New Roman"/>
          <w:bCs/>
          <w:lang w:val="sq-AL"/>
        </w:rPr>
        <w:t xml:space="preserve"> etj. </w:t>
      </w:r>
    </w:p>
    <w:p w14:paraId="67ED70C6" w14:textId="77777777" w:rsidR="00C10657" w:rsidRPr="004F488D" w:rsidRDefault="00C10657" w:rsidP="00724363">
      <w:pPr>
        <w:pStyle w:val="ListParagraph"/>
        <w:autoSpaceDE w:val="0"/>
        <w:autoSpaceDN w:val="0"/>
        <w:adjustRightInd w:val="0"/>
        <w:spacing w:line="276" w:lineRule="auto"/>
        <w:ind w:left="1440"/>
        <w:jc w:val="both"/>
        <w:rPr>
          <w:rFonts w:ascii="Times New Roman" w:eastAsiaTheme="minorEastAsia" w:hAnsi="Times New Roman"/>
          <w:bCs/>
          <w:lang w:val="sq-AL"/>
        </w:rPr>
      </w:pPr>
    </w:p>
    <w:p w14:paraId="2621F0E2" w14:textId="5206894F" w:rsidR="00887E6E" w:rsidRPr="004F488D" w:rsidRDefault="00887E6E" w:rsidP="00887E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bCs/>
        </w:rPr>
      </w:pPr>
      <w:r w:rsidRPr="004F488D">
        <w:rPr>
          <w:rFonts w:ascii="Times New Roman" w:eastAsiaTheme="minorEastAsia" w:hAnsi="Times New Roman"/>
          <w:bCs/>
        </w:rPr>
        <w:t>Pagesa totale q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Pr="004F488D">
        <w:rPr>
          <w:rFonts w:ascii="Times New Roman" w:eastAsiaTheme="minorEastAsia" w:hAnsi="Times New Roman"/>
          <w:bCs/>
        </w:rPr>
        <w:t xml:space="preserve"> KESH do paguaj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Pr="004F488D">
        <w:rPr>
          <w:rFonts w:ascii="Times New Roman" w:eastAsiaTheme="minorEastAsia" w:hAnsi="Times New Roman"/>
          <w:bCs/>
        </w:rPr>
        <w:t xml:space="preserve"> p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Pr="004F488D">
        <w:rPr>
          <w:rFonts w:ascii="Times New Roman" w:eastAsiaTheme="minorEastAsia" w:hAnsi="Times New Roman"/>
          <w:bCs/>
        </w:rPr>
        <w:t>r k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Pr="004F488D">
        <w:rPr>
          <w:rFonts w:ascii="Times New Roman" w:eastAsiaTheme="minorEastAsia" w:hAnsi="Times New Roman"/>
          <w:bCs/>
        </w:rPr>
        <w:t>t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Pr="004F488D">
        <w:rPr>
          <w:rFonts w:ascii="Times New Roman" w:eastAsiaTheme="minorEastAsia" w:hAnsi="Times New Roman"/>
          <w:bCs/>
        </w:rPr>
        <w:t xml:space="preserve"> produkt 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Pr="004F488D">
        <w:rPr>
          <w:rFonts w:ascii="Times New Roman" w:eastAsiaTheme="minorEastAsia" w:hAnsi="Times New Roman"/>
          <w:bCs/>
        </w:rPr>
        <w:t>sht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Pr="004F488D">
        <w:rPr>
          <w:rFonts w:ascii="Times New Roman" w:eastAsiaTheme="minorEastAsia" w:hAnsi="Times New Roman"/>
          <w:bCs/>
        </w:rPr>
        <w:t>:</w:t>
      </w:r>
    </w:p>
    <w:p w14:paraId="424C754D" w14:textId="07665947" w:rsidR="00887E6E" w:rsidRPr="004F488D" w:rsidRDefault="00887E6E" w:rsidP="005B27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b/>
          <w:sz w:val="24"/>
        </w:rPr>
      </w:pPr>
      <w:r w:rsidRPr="004F488D">
        <w:rPr>
          <w:rFonts w:ascii="Times New Roman" w:eastAsiaTheme="minorEastAsia" w:hAnsi="Times New Roman"/>
          <w:b/>
          <w:sz w:val="24"/>
        </w:rPr>
        <w:t xml:space="preserve">Pagesa totale / ton = S&amp;P </w:t>
      </w:r>
      <w:proofErr w:type="spellStart"/>
      <w:r w:rsidRPr="004F488D">
        <w:rPr>
          <w:rFonts w:ascii="Times New Roman" w:eastAsiaTheme="minorEastAsia" w:hAnsi="Times New Roman"/>
          <w:b/>
          <w:sz w:val="24"/>
        </w:rPr>
        <w:t>Platts</w:t>
      </w:r>
      <w:proofErr w:type="spellEnd"/>
      <w:r w:rsidRPr="004F488D">
        <w:rPr>
          <w:rFonts w:ascii="Times New Roman" w:eastAsiaTheme="minorEastAsia" w:hAnsi="Times New Roman"/>
          <w:b/>
          <w:sz w:val="24"/>
        </w:rPr>
        <w:t xml:space="preserve"> </w:t>
      </w:r>
      <w:r w:rsidR="000E582B" w:rsidRPr="004F488D">
        <w:rPr>
          <w:rFonts w:ascii="Times New Roman" w:eastAsiaTheme="minorEastAsia" w:hAnsi="Times New Roman"/>
          <w:b/>
          <w:sz w:val="24"/>
        </w:rPr>
        <w:t xml:space="preserve">DPU </w:t>
      </w:r>
      <w:r w:rsidR="00B24289" w:rsidRPr="004F488D">
        <w:rPr>
          <w:rFonts w:ascii="Times New Roman" w:eastAsiaTheme="minorEastAsia" w:hAnsi="Times New Roman"/>
          <w:b/>
          <w:sz w:val="24"/>
        </w:rPr>
        <w:t>MED</w:t>
      </w:r>
      <w:r w:rsidR="000E582B" w:rsidRPr="004F488D">
        <w:rPr>
          <w:rFonts w:ascii="Times New Roman" w:eastAsiaTheme="minorEastAsia" w:hAnsi="Times New Roman"/>
          <w:b/>
          <w:sz w:val="24"/>
        </w:rPr>
        <w:t xml:space="preserve"> </w:t>
      </w:r>
      <w:r w:rsidRPr="004F488D">
        <w:rPr>
          <w:rFonts w:ascii="Times New Roman" w:eastAsiaTheme="minorEastAsia" w:hAnsi="Times New Roman"/>
          <w:b/>
          <w:sz w:val="24"/>
        </w:rPr>
        <w:t>/ ton + Premio_1 / ton</w:t>
      </w:r>
    </w:p>
    <w:p w14:paraId="70795FC6" w14:textId="77777777" w:rsidR="005B27C4" w:rsidRPr="004F488D" w:rsidRDefault="005B27C4" w:rsidP="005B27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b/>
        </w:rPr>
      </w:pPr>
    </w:p>
    <w:p w14:paraId="09AF8ACD" w14:textId="08BD55EE" w:rsidR="00887E6E" w:rsidRPr="004F488D" w:rsidRDefault="00887E6E" w:rsidP="00887E6E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/>
          <w:bCs/>
        </w:rPr>
      </w:pPr>
      <w:r w:rsidRPr="004F488D">
        <w:rPr>
          <w:rFonts w:ascii="Times New Roman" w:eastAsiaTheme="minorEastAsia" w:hAnsi="Times New Roman"/>
          <w:bCs/>
        </w:rPr>
        <w:t xml:space="preserve">KESH </w:t>
      </w:r>
      <w:proofErr w:type="spellStart"/>
      <w:r w:rsidRPr="004F488D">
        <w:rPr>
          <w:rFonts w:ascii="Times New Roman" w:eastAsiaTheme="minorEastAsia" w:hAnsi="Times New Roman"/>
          <w:bCs/>
        </w:rPr>
        <w:t>sh.a</w:t>
      </w:r>
      <w:proofErr w:type="spellEnd"/>
      <w:r w:rsidR="00740281" w:rsidRPr="004F488D">
        <w:rPr>
          <w:rFonts w:ascii="Times New Roman" w:eastAsiaTheme="minorEastAsia" w:hAnsi="Times New Roman"/>
          <w:bCs/>
        </w:rPr>
        <w:t xml:space="preserve"> nuk do t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="00740281" w:rsidRPr="004F488D">
        <w:rPr>
          <w:rFonts w:ascii="Times New Roman" w:eastAsiaTheme="minorEastAsia" w:hAnsi="Times New Roman"/>
          <w:bCs/>
        </w:rPr>
        <w:t xml:space="preserve"> paguaj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="00740281" w:rsidRPr="004F488D">
        <w:rPr>
          <w:rFonts w:ascii="Times New Roman" w:eastAsiaTheme="minorEastAsia" w:hAnsi="Times New Roman"/>
          <w:bCs/>
        </w:rPr>
        <w:t xml:space="preserve"> </w:t>
      </w:r>
      <w:r w:rsidR="00085134" w:rsidRPr="004F488D">
        <w:rPr>
          <w:rFonts w:ascii="Times New Roman" w:eastAsiaTheme="minorEastAsia" w:hAnsi="Times New Roman"/>
          <w:bCs/>
        </w:rPr>
        <w:t>asnj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="00085134" w:rsidRPr="004F488D">
        <w:rPr>
          <w:rFonts w:ascii="Times New Roman" w:eastAsiaTheme="minorEastAsia" w:hAnsi="Times New Roman"/>
          <w:bCs/>
        </w:rPr>
        <w:t xml:space="preserve"> kosto shtes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="00085134" w:rsidRPr="004F488D">
        <w:rPr>
          <w:rFonts w:ascii="Times New Roman" w:eastAsiaTheme="minorEastAsia" w:hAnsi="Times New Roman"/>
          <w:bCs/>
        </w:rPr>
        <w:t xml:space="preserve"> </w:t>
      </w:r>
      <w:r w:rsidR="003E455C" w:rsidRPr="004F488D">
        <w:rPr>
          <w:rFonts w:ascii="Times New Roman" w:eastAsiaTheme="minorEastAsia" w:hAnsi="Times New Roman"/>
          <w:bCs/>
        </w:rPr>
        <w:t>n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="003E455C" w:rsidRPr="004F488D">
        <w:rPr>
          <w:rFonts w:ascii="Times New Roman" w:eastAsiaTheme="minorEastAsia" w:hAnsi="Times New Roman"/>
          <w:bCs/>
        </w:rPr>
        <w:t xml:space="preserve"> lidhje me produktin e marr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="00552CD7" w:rsidRPr="004F488D">
        <w:rPr>
          <w:rFonts w:ascii="Times New Roman" w:eastAsiaTheme="minorEastAsia" w:hAnsi="Times New Roman"/>
          <w:bCs/>
        </w:rPr>
        <w:t>.</w:t>
      </w:r>
    </w:p>
    <w:p w14:paraId="1CC8EC0A" w14:textId="77777777" w:rsidR="008D4900" w:rsidRPr="004F488D" w:rsidRDefault="00DF309F" w:rsidP="00C7793D">
      <w:pPr>
        <w:pStyle w:val="Heading2"/>
        <w:spacing w:line="276" w:lineRule="auto"/>
        <w:rPr>
          <w:color w:val="auto"/>
        </w:rPr>
      </w:pPr>
      <w:bookmarkStart w:id="7" w:name="_Toc146539132"/>
      <w:r w:rsidRPr="004F488D">
        <w:rPr>
          <w:color w:val="auto"/>
        </w:rPr>
        <w:t>Kushtet e Shërbimit</w:t>
      </w:r>
      <w:bookmarkEnd w:id="7"/>
    </w:p>
    <w:p w14:paraId="47CD4011" w14:textId="35ACEB0F" w:rsidR="005E4114" w:rsidRPr="004F488D" w:rsidRDefault="005E4114" w:rsidP="00C7793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Lidhur me çmimin e produktit të kërkuar, bazuar në </w:t>
      </w:r>
      <w:r w:rsidR="00431657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praktikat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brenda vendit, parashikohet që çmimi të jete i formuar nga </w:t>
      </w:r>
      <w:r w:rsidR="00431657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një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reference ne tregjet </w:t>
      </w:r>
      <w:r w:rsidR="00431657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ndërkombëtare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të cilit i shtohet </w:t>
      </w:r>
      <w:r w:rsidR="00431657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një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31657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çmim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Premium. </w:t>
      </w:r>
    </w:p>
    <w:p w14:paraId="281FB5D4" w14:textId="1AA69836" w:rsidR="005E4114" w:rsidRPr="004F488D" w:rsidRDefault="00431657" w:rsidP="00C7793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Pjesëmarrësit</w:t>
      </w:r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do te garojnë mbi çmimin Premium. 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Çmimi</w:t>
      </w:r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 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referencës</w:t>
      </w:r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bazuar ne 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praktika</w:t>
      </w:r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do te jetë ai </w:t>
      </w:r>
      <w:r w:rsidR="00552CD7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 r</w:t>
      </w:r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eferuar </w:t>
      </w:r>
      <w:proofErr w:type="spellStart"/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Platts</w:t>
      </w:r>
      <w:proofErr w:type="spellEnd"/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Marine </w:t>
      </w:r>
      <w:proofErr w:type="spellStart"/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fuel</w:t>
      </w:r>
      <w:proofErr w:type="spellEnd"/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oil</w:t>
      </w:r>
      <w:proofErr w:type="spellEnd"/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0,5% </w:t>
      </w:r>
      <w:r w:rsidR="005435CC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DPU </w:t>
      </w:r>
      <w:r w:rsidR="00B24289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MED</w:t>
      </w:r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14:paraId="638F3DD6" w14:textId="641C211A" w:rsidR="005E4114" w:rsidRPr="004F488D" w:rsidRDefault="005E4114" w:rsidP="00C7793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Për</w:t>
      </w:r>
      <w:r w:rsidR="00431657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sa i përket çmimit të referencës të furnizimit në vendin e depozitimit, parashikohet të jetë ai i ditës së Njoftimit të </w:t>
      </w:r>
      <w:r w:rsidR="00431657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gatishmërisë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proofErr w:type="spellStart"/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Notice</w:t>
      </w:r>
      <w:proofErr w:type="spellEnd"/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of</w:t>
      </w:r>
      <w:proofErr w:type="spellEnd"/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Readine</w:t>
      </w:r>
      <w:r w:rsidR="00552CD7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</w:t>
      </w:r>
      <w:proofErr w:type="spellEnd"/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NoR</w:t>
      </w:r>
      <w:proofErr w:type="spellEnd"/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 të transportuesit të lëndës për ta depozituar at</w:t>
      </w:r>
      <w:r w:rsidR="000E582B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ë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14:paraId="094420F3" w14:textId="6C8441E5" w:rsidR="005E4114" w:rsidRPr="004F488D" w:rsidRDefault="005E4114" w:rsidP="00C7793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5B0B477" w14:textId="55A3F9F2" w:rsidR="005E4114" w:rsidRPr="004F488D" w:rsidRDefault="00431657" w:rsidP="00C7793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Tabela</w:t>
      </w:r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përmbledhëse e produktit të 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kërkuar</w:t>
      </w:r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</w:p>
    <w:p w14:paraId="3707F6D3" w14:textId="52E7E036" w:rsidR="005E4114" w:rsidRPr="004F488D" w:rsidRDefault="005E4114" w:rsidP="00C7793D">
      <w:pPr>
        <w:pStyle w:val="ListParagraph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/>
          <w:bCs/>
          <w:shd w:val="clear" w:color="auto" w:fill="FFFFFF"/>
          <w:lang w:val="sq-AL"/>
        </w:rPr>
      </w:pPr>
      <w:r w:rsidRPr="004F488D">
        <w:rPr>
          <w:rFonts w:ascii="Times New Roman" w:hAnsi="Times New Roman"/>
          <w:bCs/>
          <w:shd w:val="clear" w:color="auto" w:fill="FFFFFF"/>
          <w:lang w:val="sq-AL"/>
        </w:rPr>
        <w:lastRenderedPageBreak/>
        <w:t>Furnizim</w:t>
      </w:r>
      <w:r w:rsidR="00B11879" w:rsidRPr="004F488D">
        <w:rPr>
          <w:rFonts w:ascii="Times New Roman" w:hAnsi="Times New Roman"/>
          <w:bCs/>
          <w:shd w:val="clear" w:color="auto" w:fill="FFFFFF"/>
          <w:lang w:val="sq-AL"/>
        </w:rPr>
        <w:t xml:space="preserve"> pranë PIA</w:t>
      </w:r>
    </w:p>
    <w:p w14:paraId="6AF8CBFB" w14:textId="77777777" w:rsidR="00760D45" w:rsidRPr="00760D45" w:rsidRDefault="00760D45" w:rsidP="00760D45">
      <w:pPr>
        <w:pStyle w:val="ListParagraph"/>
        <w:spacing w:before="120" w:after="120" w:line="276" w:lineRule="auto"/>
        <w:jc w:val="both"/>
        <w:rPr>
          <w:rFonts w:ascii="Times New Roman" w:hAnsi="Times New Roman"/>
          <w:bCs/>
          <w:shd w:val="clear" w:color="auto" w:fill="FFFFFF"/>
          <w:lang w:val="sq-AL"/>
        </w:rPr>
      </w:pPr>
    </w:p>
    <w:tbl>
      <w:tblPr>
        <w:tblW w:w="8647" w:type="dxa"/>
        <w:tblInd w:w="-10" w:type="dxa"/>
        <w:tblLook w:val="04A0" w:firstRow="1" w:lastRow="0" w:firstColumn="1" w:lastColumn="0" w:noHBand="0" w:noVBand="1"/>
      </w:tblPr>
      <w:tblGrid>
        <w:gridCol w:w="900"/>
        <w:gridCol w:w="3780"/>
        <w:gridCol w:w="3967"/>
      </w:tblGrid>
      <w:tr w:rsidR="005E4114" w:rsidRPr="00760D45" w14:paraId="25FAF449" w14:textId="77777777" w:rsidTr="00DD1C00">
        <w:trPr>
          <w:trHeight w:val="345"/>
        </w:trPr>
        <w:tc>
          <w:tcPr>
            <w:tcW w:w="900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4794BBF7" w14:textId="77777777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GB"/>
              </w:rPr>
              <w:t>No</w:t>
            </w:r>
            <w:proofErr w:type="spellEnd"/>
            <w:r w:rsidRPr="00760D45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780" w:type="dxa"/>
            <w:tcBorders>
              <w:top w:val="single" w:sz="8" w:space="0" w:color="9BC2E6"/>
              <w:left w:val="nil"/>
              <w:bottom w:val="single" w:sz="8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2FFBDF3A" w14:textId="77777777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GB"/>
              </w:rPr>
              <w:t>Key</w:t>
            </w:r>
            <w:proofErr w:type="spellEnd"/>
            <w:r w:rsidRPr="00760D45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GB"/>
              </w:rPr>
              <w:t>terms</w:t>
            </w:r>
            <w:proofErr w:type="spellEnd"/>
          </w:p>
        </w:tc>
        <w:tc>
          <w:tcPr>
            <w:tcW w:w="3967" w:type="dxa"/>
            <w:tcBorders>
              <w:top w:val="single" w:sz="8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5B9BD5" w:fill="5B9BD5"/>
            <w:noWrap/>
            <w:vAlign w:val="center"/>
            <w:hideMark/>
          </w:tcPr>
          <w:p w14:paraId="6CAF8E82" w14:textId="77777777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GB"/>
              </w:rPr>
              <w:t>Comments</w:t>
            </w:r>
            <w:proofErr w:type="spellEnd"/>
          </w:p>
        </w:tc>
      </w:tr>
      <w:tr w:rsidR="005E4114" w:rsidRPr="00760D45" w14:paraId="4F42295E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77A4D18" w14:textId="77777777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19EC4A84" w14:textId="28E0EC39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Date 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of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Supply</w:t>
            </w:r>
            <w:proofErr w:type="spellEnd"/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DDEBF7" w:fill="DDEBF7"/>
            <w:noWrap/>
            <w:vAlign w:val="center"/>
            <w:hideMark/>
          </w:tcPr>
          <w:p w14:paraId="18F377A8" w14:textId="77777777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TBA</w:t>
            </w:r>
          </w:p>
        </w:tc>
      </w:tr>
      <w:tr w:rsidR="005E4114" w:rsidRPr="00760D45" w14:paraId="19D9B519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839E3F9" w14:textId="77777777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FEBA5B8" w14:textId="77777777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Buyer</w:t>
            </w:r>
            <w:proofErr w:type="spellEnd"/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E414AA7" w14:textId="51F4A46D" w:rsidR="005E4114" w:rsidRPr="00760D45" w:rsidRDefault="005E4114" w:rsidP="00C7793D">
            <w:pPr>
              <w:spacing w:line="276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Korporata </w:t>
            </w:r>
            <w:proofErr w:type="spellStart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Elektroenergjetike</w:t>
            </w:r>
            <w:proofErr w:type="spellEnd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 Shqiptare (</w:t>
            </w:r>
            <w:proofErr w:type="spellStart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Albanian</w:t>
            </w:r>
            <w:proofErr w:type="spellEnd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F61EC"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Po</w:t>
            </w:r>
            <w:r w:rsidR="00724363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w</w:t>
            </w:r>
            <w:r w:rsidR="00DF61EC"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er</w:t>
            </w:r>
            <w:proofErr w:type="spellEnd"/>
            <w:r w:rsidR="00DF61EC"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Corporation</w:t>
            </w:r>
            <w:proofErr w:type="spellEnd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). A </w:t>
            </w:r>
            <w:proofErr w:type="spellStart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State</w:t>
            </w:r>
            <w:proofErr w:type="spellEnd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F4758"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o</w:t>
            </w:r>
            <w:r w:rsidR="00724363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w</w:t>
            </w:r>
            <w:r w:rsidR="008F4758"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ned</w:t>
            </w:r>
            <w:proofErr w:type="spellEnd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Joint</w:t>
            </w:r>
            <w:proofErr w:type="spellEnd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stock</w:t>
            </w:r>
            <w:proofErr w:type="spellEnd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company</w:t>
            </w:r>
            <w:proofErr w:type="spellEnd"/>
          </w:p>
        </w:tc>
      </w:tr>
      <w:tr w:rsidR="005E4114" w:rsidRPr="00760D45" w14:paraId="7727D1DA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50053E0C" w14:textId="77777777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780" w:type="dxa"/>
            <w:tcBorders>
              <w:top w:val="single" w:sz="8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42A3483" w14:textId="77777777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Product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/ Grade</w:t>
            </w:r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DDEBF7" w:fill="DDEBF7"/>
            <w:vAlign w:val="center"/>
            <w:hideMark/>
          </w:tcPr>
          <w:p w14:paraId="122D83D9" w14:textId="7E31E15D" w:rsidR="005E4114" w:rsidRPr="00760D45" w:rsidRDefault="00760D45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Max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0.5%</w:t>
            </w:r>
            <w:r w:rsidR="00DF6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Sulfur RME 180</w:t>
            </w:r>
            <w:r w:rsidR="00DF6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ctss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as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per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attached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specs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  <w:tr w:rsidR="005E4114" w:rsidRPr="00760D45" w14:paraId="46F9F1BD" w14:textId="77777777" w:rsidTr="00DD1C00">
        <w:trPr>
          <w:trHeight w:val="91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DAA96F9" w14:textId="77777777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80" w:type="dxa"/>
            <w:tcBorders>
              <w:top w:val="single" w:sz="8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46EB530" w14:textId="77777777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Incoterm</w:t>
            </w:r>
            <w:proofErr w:type="spellEnd"/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vAlign w:val="center"/>
            <w:hideMark/>
          </w:tcPr>
          <w:p w14:paraId="4629A70A" w14:textId="7DA57AF5" w:rsidR="005E4114" w:rsidRPr="00760D45" w:rsidRDefault="000E582B" w:rsidP="00B118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bookmarkStart w:id="8" w:name="_Hlk173745572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DPU</w:t>
            </w:r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B242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MED</w:t>
            </w:r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Title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property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and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risk shall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pass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from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Seller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to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supplied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party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as the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oil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passes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the transport permanent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flange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connection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bookmarkEnd w:id="8"/>
            <w:proofErr w:type="spellStart"/>
            <w:r w:rsidR="00C604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w</w:t>
            </w:r>
            <w:r w:rsidR="00DF6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ith</w:t>
            </w:r>
            <w:proofErr w:type="spellEnd"/>
            <w:r w:rsidR="00DF6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PIA</w:t>
            </w:r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  <w:tr w:rsidR="00431657" w:rsidRPr="00760D45" w14:paraId="54CF321B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DBBC7F5" w14:textId="6D6247C1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7F2FC37" w14:textId="4735F6F9" w:rsidR="00431657" w:rsidRPr="00DD1C00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Delivery</w:t>
            </w:r>
            <w:proofErr w:type="spellEnd"/>
            <w:r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Date Range</w:t>
            </w:r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DDEBF7" w:fill="DDEBF7"/>
            <w:noWrap/>
            <w:vAlign w:val="center"/>
            <w:hideMark/>
          </w:tcPr>
          <w:p w14:paraId="2FC28759" w14:textId="6E0B7BE1" w:rsidR="00431657" w:rsidRPr="00DD1C00" w:rsidRDefault="00431657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Delivery</w:t>
            </w:r>
            <w:proofErr w:type="spellEnd"/>
            <w:r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as </w:t>
            </w:r>
            <w:proofErr w:type="spellStart"/>
            <w:r w:rsidR="00813948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defined</w:t>
            </w:r>
            <w:proofErr w:type="spellEnd"/>
            <w:r w:rsidR="00813948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in </w:t>
            </w:r>
            <w:proofErr w:type="spellStart"/>
            <w:r w:rsidR="00DF61EC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Article</w:t>
            </w:r>
            <w:proofErr w:type="spellEnd"/>
            <w:r w:rsidR="00DF61EC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4 </w:t>
            </w:r>
          </w:p>
        </w:tc>
      </w:tr>
      <w:tr w:rsidR="00431657" w:rsidRPr="00760D45" w14:paraId="37CC85F9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BC2084E" w14:textId="1C8309A8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DC571A6" w14:textId="499C4FB6" w:rsidR="00431657" w:rsidRPr="00760D45" w:rsidRDefault="00DF61EC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Q</w:t>
            </w:r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uantity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Delivery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/ Tolerance</w:t>
            </w:r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AA5DAED" w14:textId="17500F6C" w:rsidR="00DF61EC" w:rsidRPr="00DD1C00" w:rsidRDefault="00EE31E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15</w:t>
            </w:r>
            <w:r w:rsidR="00DF61EC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F61EC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kt</w:t>
            </w:r>
            <w:proofErr w:type="spellEnd"/>
            <w:r w:rsidR="00DF61EC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/ +/- </w:t>
            </w:r>
            <w:r w:rsidR="00552CD7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  <w:r w:rsidR="00DF61EC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% in </w:t>
            </w:r>
            <w:proofErr w:type="spellStart"/>
            <w:r w:rsidR="00DF61EC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one</w:t>
            </w:r>
            <w:proofErr w:type="spellEnd"/>
            <w:r w:rsidR="00DF61EC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lot</w:t>
            </w:r>
          </w:p>
        </w:tc>
      </w:tr>
      <w:tr w:rsidR="00431657" w:rsidRPr="00760D45" w14:paraId="00AF7DA3" w14:textId="77777777" w:rsidTr="00DD1C00">
        <w:trPr>
          <w:trHeight w:val="91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3C3C6D0F" w14:textId="6DF1C62C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530BCDA" w14:textId="134842AF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Price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and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Reference </w:t>
            </w:r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DDEBF7" w:fill="DDEBF7"/>
            <w:vAlign w:val="center"/>
            <w:hideMark/>
          </w:tcPr>
          <w:p w14:paraId="69C9E051" w14:textId="00BD63F9" w:rsidR="00431657" w:rsidRPr="00760D45" w:rsidRDefault="005435CC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bookmarkStart w:id="9" w:name="_Hlk173752213"/>
            <w:r w:rsidRPr="005435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DPU </w:t>
            </w:r>
            <w:r w:rsidR="00B242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MED</w:t>
            </w:r>
            <w:r w:rsidRPr="005435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BC08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Marine </w:t>
            </w:r>
            <w:proofErr w:type="spellStart"/>
            <w:r w:rsidR="00BC08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Fuel</w:t>
            </w:r>
            <w:proofErr w:type="spellEnd"/>
            <w:r w:rsidR="00BC08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0.5% </w:t>
            </w:r>
            <w:proofErr w:type="spellStart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cargo</w:t>
            </w:r>
            <w:proofErr w:type="spellEnd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BC08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(MFCMM00) </w:t>
            </w:r>
            <w:proofErr w:type="spellStart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of</w:t>
            </w:r>
            <w:proofErr w:type="spellEnd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903C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NoR</w:t>
            </w:r>
            <w:proofErr w:type="spellEnd"/>
            <w:r w:rsidR="00903C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903C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issuing</w:t>
            </w:r>
            <w:proofErr w:type="spellEnd"/>
            <w:r w:rsidR="00903C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903C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day</w:t>
            </w:r>
            <w:proofErr w:type="spellEnd"/>
            <w:r w:rsidR="00903C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quotation</w:t>
            </w:r>
            <w:proofErr w:type="spellEnd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as </w:t>
            </w:r>
            <w:proofErr w:type="spellStart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published</w:t>
            </w:r>
            <w:proofErr w:type="spellEnd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by </w:t>
            </w:r>
            <w:proofErr w:type="spellStart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Plats</w:t>
            </w:r>
            <w:proofErr w:type="spellEnd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plus a </w:t>
            </w:r>
            <w:proofErr w:type="spellStart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premium</w:t>
            </w:r>
            <w:proofErr w:type="spellEnd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of</w:t>
            </w:r>
            <w:proofErr w:type="spellEnd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X </w:t>
            </w:r>
            <w:r w:rsidR="00903C1D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/</w:t>
            </w:r>
            <w:proofErr w:type="spellStart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mt</w:t>
            </w:r>
            <w:proofErr w:type="spellEnd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  <w:bookmarkEnd w:id="9"/>
          </w:p>
        </w:tc>
      </w:tr>
      <w:tr w:rsidR="00431657" w:rsidRPr="00760D45" w14:paraId="5D8B9189" w14:textId="77777777" w:rsidTr="00DD1C00">
        <w:trPr>
          <w:trHeight w:val="61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05116DD1" w14:textId="3604214D" w:rsidR="00431657" w:rsidRPr="00760D45" w:rsidRDefault="00903C1D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780" w:type="dxa"/>
            <w:tcBorders>
              <w:top w:val="single" w:sz="8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08AE95A3" w14:textId="5F00D97A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Payment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Terms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DDEBF7" w:fill="DDEBF7"/>
            <w:noWrap/>
            <w:vAlign w:val="center"/>
            <w:hideMark/>
          </w:tcPr>
          <w:p w14:paraId="2CAF5639" w14:textId="7BEE116C" w:rsidR="00431657" w:rsidRPr="00760D45" w:rsidRDefault="00137293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  <w:bookmarkStart w:id="10" w:name="_Hlk173754962"/>
            <w:proofErr w:type="spellStart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Irrevocable</w:t>
            </w:r>
            <w:proofErr w:type="spellEnd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non</w:t>
            </w:r>
            <w:proofErr w:type="spellEnd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transferable</w:t>
            </w:r>
            <w:proofErr w:type="spellEnd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LC </w:t>
            </w:r>
            <w:proofErr w:type="spellStart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issued</w:t>
            </w:r>
            <w:proofErr w:type="spellEnd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by a </w:t>
            </w:r>
            <w:proofErr w:type="spellStart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commercial</w:t>
            </w:r>
            <w:proofErr w:type="spellEnd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bank</w:t>
            </w:r>
            <w:proofErr w:type="spellEnd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registered</w:t>
            </w:r>
            <w:proofErr w:type="spellEnd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in Albania, payable upon presentation of documents</w:t>
            </w:r>
            <w:bookmarkEnd w:id="10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(ref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Annex 3 - </w:t>
            </w:r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Draft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LC containing minimum but non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exchaustive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criteria</w:t>
            </w:r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431657" w:rsidRPr="00760D45" w14:paraId="049B5E3D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E5B23E3" w14:textId="19FF7A2A" w:rsidR="00431657" w:rsidRPr="00760D45" w:rsidRDefault="00903C1D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97CA39E" w14:textId="24F75586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Payment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Security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vAlign w:val="center"/>
            <w:hideMark/>
          </w:tcPr>
          <w:p w14:paraId="5D9DAA4E" w14:textId="78FE6E07" w:rsidR="00431657" w:rsidRPr="00DD1C00" w:rsidRDefault="00903C1D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As </w:t>
            </w:r>
            <w:proofErr w:type="spellStart"/>
            <w:r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per</w:t>
            </w:r>
            <w:proofErr w:type="spellEnd"/>
            <w:r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</w:t>
            </w:r>
            <w:r w:rsidR="00BC0808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</w:t>
            </w:r>
            <w:r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int</w:t>
            </w:r>
            <w:proofErr w:type="spellEnd"/>
            <w:r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8</w:t>
            </w:r>
          </w:p>
        </w:tc>
      </w:tr>
      <w:tr w:rsidR="00431657" w:rsidRPr="00760D45" w14:paraId="704E5A5D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577AECDA" w14:textId="53CFFB67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  <w:r w:rsidR="00D40F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1DD44DC" w14:textId="017E1D8B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Period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of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Supply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DDEBF7" w:fill="DDEBF7"/>
            <w:vAlign w:val="center"/>
            <w:hideMark/>
          </w:tcPr>
          <w:p w14:paraId="40A76159" w14:textId="48525784" w:rsidR="00431657" w:rsidRPr="00760D45" w:rsidRDefault="00BC0808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Q</w:t>
            </w:r>
            <w:r w:rsidR="0036277D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  <w:r w:rsidR="00903C1D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202</w:t>
            </w:r>
            <w:r w:rsidR="0088502A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431657" w:rsidRPr="00760D45" w14:paraId="285B63E5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08ED831F" w14:textId="290E30AB" w:rsidR="00431657" w:rsidRPr="00760D45" w:rsidRDefault="00D40F5D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ACBEDF1" w14:textId="4ECBC23B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Inspector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/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Inspection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Cost</w:t>
            </w:r>
            <w:proofErr w:type="spellEnd"/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C73FA70" w14:textId="33145B48" w:rsidR="00431657" w:rsidRPr="00760D45" w:rsidRDefault="00431657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Delivery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inspection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to </w:t>
            </w:r>
            <w:proofErr w:type="spellStart"/>
            <w:r w:rsidR="00BC08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seller</w:t>
            </w:r>
            <w:proofErr w:type="spellEnd"/>
          </w:p>
        </w:tc>
      </w:tr>
      <w:tr w:rsidR="002F5117" w:rsidRPr="00760D45" w14:paraId="21EB4190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</w:tcPr>
          <w:p w14:paraId="2337CA21" w14:textId="5E191ECC" w:rsidR="002F5117" w:rsidRPr="00760D45" w:rsidRDefault="00D40F5D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</w:tcPr>
          <w:p w14:paraId="2E5219E6" w14:textId="3DE82F31" w:rsidR="002F5117" w:rsidRPr="00760D45" w:rsidRDefault="002F511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Unloading</w:t>
            </w:r>
            <w:proofErr w:type="spellEnd"/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14:paraId="1EB85D98" w14:textId="69B255B5" w:rsidR="002F5117" w:rsidRPr="00760D45" w:rsidRDefault="002F5117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After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Certificate</w:t>
            </w:r>
            <w:proofErr w:type="spellEnd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of</w:t>
            </w:r>
            <w:proofErr w:type="spellEnd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compliance</w:t>
            </w:r>
            <w:proofErr w:type="spellEnd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604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w</w:t>
            </w:r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ith</w:t>
            </w:r>
            <w:proofErr w:type="spellEnd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the </w:t>
            </w:r>
            <w:proofErr w:type="spellStart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fuel</w:t>
            </w:r>
            <w:proofErr w:type="spellEnd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specifications</w:t>
            </w:r>
            <w:proofErr w:type="spellEnd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issued</w:t>
            </w:r>
            <w:proofErr w:type="spellEnd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by an </w:t>
            </w:r>
            <w:proofErr w:type="spellStart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international</w:t>
            </w:r>
            <w:proofErr w:type="spellEnd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reputable</w:t>
            </w:r>
            <w:proofErr w:type="spellEnd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surveyor</w:t>
            </w:r>
            <w:proofErr w:type="spellEnd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/ </w:t>
            </w:r>
            <w:proofErr w:type="spellStart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inspector</w:t>
            </w:r>
            <w:proofErr w:type="spellEnd"/>
            <w:r w:rsidR="00D40F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="00D40F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Duration</w:t>
            </w:r>
            <w:proofErr w:type="spellEnd"/>
            <w:r w:rsidR="00D40F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TBD</w:t>
            </w:r>
          </w:p>
        </w:tc>
      </w:tr>
      <w:tr w:rsidR="002F5117" w:rsidRPr="00760D45" w14:paraId="35163758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</w:tcPr>
          <w:p w14:paraId="3A3C7080" w14:textId="3A58CD38" w:rsidR="002F5117" w:rsidRPr="00760D45" w:rsidRDefault="00D40F5D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13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</w:tcPr>
          <w:p w14:paraId="3BB4C3E1" w14:textId="12AD3E43" w:rsidR="002F5117" w:rsidRPr="00724363" w:rsidRDefault="002F511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Testing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14:paraId="61664FA8" w14:textId="77777777" w:rsidR="002F5117" w:rsidRDefault="002F5117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Sampling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board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ship</w:t>
            </w:r>
            <w:proofErr w:type="spellEnd"/>
          </w:p>
          <w:p w14:paraId="20CB5F5D" w14:textId="0B08A505" w:rsidR="002F5117" w:rsidRPr="00760D45" w:rsidRDefault="002F5117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Expected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36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hours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after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sampling</w:t>
            </w:r>
            <w:proofErr w:type="spellEnd"/>
          </w:p>
        </w:tc>
      </w:tr>
      <w:tr w:rsidR="002F5117" w:rsidRPr="00760D45" w14:paraId="185998FD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</w:tcPr>
          <w:p w14:paraId="4B40C5CD" w14:textId="686256A7" w:rsidR="002F5117" w:rsidRPr="00760D45" w:rsidRDefault="00D40F5D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</w:tcPr>
          <w:p w14:paraId="0EF12B55" w14:textId="5DA6D96F" w:rsidR="002F5117" w:rsidRPr="00760D45" w:rsidRDefault="002F511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Demurrage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rate</w:t>
            </w:r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14:paraId="551817E5" w14:textId="6606FC45" w:rsidR="002F5117" w:rsidRPr="00813948" w:rsidRDefault="002F5117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43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TBA</w:t>
            </w:r>
            <w:r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under</w:t>
            </w:r>
            <w:proofErr w:type="spellEnd"/>
            <w:r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negotiation</w:t>
            </w:r>
            <w:proofErr w:type="spellEnd"/>
          </w:p>
        </w:tc>
      </w:tr>
      <w:tr w:rsidR="002F5117" w:rsidRPr="00760D45" w14:paraId="121DFE67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</w:tcPr>
          <w:p w14:paraId="676B14BD" w14:textId="53A786ED" w:rsidR="002F5117" w:rsidRPr="00760D45" w:rsidRDefault="00D40F5D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</w:tcPr>
          <w:p w14:paraId="1207845C" w14:textId="44A3C8D6" w:rsidR="002F5117" w:rsidRPr="00760D45" w:rsidRDefault="002F511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Daytime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demurrage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calculation</w:t>
            </w:r>
            <w:proofErr w:type="spellEnd"/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DDEBF7" w:fill="DDEBF7"/>
            <w:noWrap/>
            <w:vAlign w:val="center"/>
          </w:tcPr>
          <w:p w14:paraId="456D6DE7" w14:textId="266633A6" w:rsidR="002F5117" w:rsidRPr="00724363" w:rsidRDefault="002F5117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43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TBA</w:t>
            </w:r>
            <w:r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under</w:t>
            </w:r>
            <w:proofErr w:type="spellEnd"/>
            <w:r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negotiation</w:t>
            </w:r>
            <w:proofErr w:type="spellEnd"/>
          </w:p>
        </w:tc>
      </w:tr>
      <w:tr w:rsidR="00431657" w:rsidRPr="00760D45" w14:paraId="1BC5FE26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55140D6D" w14:textId="2EFEB326" w:rsidR="00431657" w:rsidRPr="00760D45" w:rsidRDefault="00D40F5D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D53E224" w14:textId="63342BFC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La</w:t>
            </w:r>
            <w:r w:rsidR="00EB7B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w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&amp; 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Dispute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Resolution</w:t>
            </w:r>
            <w:proofErr w:type="spellEnd"/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DDEBF7" w:fill="DDEBF7"/>
            <w:noWrap/>
            <w:vAlign w:val="center"/>
            <w:hideMark/>
          </w:tcPr>
          <w:p w14:paraId="16176D3A" w14:textId="6FA7ECC5" w:rsidR="00431657" w:rsidRPr="00813948" w:rsidRDefault="00431657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43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TBA</w:t>
            </w:r>
            <w:r w:rsidR="005E1629"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E1629"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under</w:t>
            </w:r>
            <w:proofErr w:type="spellEnd"/>
            <w:r w:rsidR="005E1629"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E1629"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negotiation</w:t>
            </w:r>
            <w:proofErr w:type="spellEnd"/>
          </w:p>
        </w:tc>
      </w:tr>
      <w:tr w:rsidR="00431657" w:rsidRPr="00760D45" w14:paraId="42825CF2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5B3B480" w14:textId="7C2B720C" w:rsidR="00431657" w:rsidRPr="00760D45" w:rsidRDefault="00D40F5D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A204AEC" w14:textId="2C1EF24C" w:rsidR="00431657" w:rsidRPr="00350AB3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50AB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Contract</w:t>
            </w:r>
            <w:proofErr w:type="spellEnd"/>
            <w:r w:rsidRPr="00350AB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50AB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terms</w:t>
            </w:r>
            <w:proofErr w:type="spellEnd"/>
            <w:r w:rsidRPr="00350AB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50AB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and</w:t>
            </w:r>
            <w:proofErr w:type="spellEnd"/>
            <w:r w:rsidRPr="00350AB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50AB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conditions</w:t>
            </w:r>
            <w:proofErr w:type="spellEnd"/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3E710F5" w14:textId="10E884A6" w:rsidR="00431657" w:rsidRPr="00350AB3" w:rsidRDefault="00560E32" w:rsidP="00C779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Modeli i kontratës sipas Aneks 4  </w:t>
            </w:r>
          </w:p>
        </w:tc>
      </w:tr>
      <w:tr w:rsidR="00431657" w:rsidRPr="00760D45" w14:paraId="501087DA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</w:tcPr>
          <w:p w14:paraId="1E3496DE" w14:textId="7E3F6A77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</w:tcPr>
          <w:p w14:paraId="628C8C27" w14:textId="7902DF5A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14:paraId="44E99546" w14:textId="243AA619" w:rsidR="00431657" w:rsidRPr="00760D45" w:rsidRDefault="00431657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51FF3D80" w14:textId="77777777" w:rsidR="00F21A88" w:rsidRPr="004F488D" w:rsidRDefault="009D2249" w:rsidP="0056008C">
      <w:pPr>
        <w:pStyle w:val="Heading1"/>
        <w:rPr>
          <w:rFonts w:eastAsia="Times New Roman"/>
          <w:color w:val="auto"/>
        </w:rPr>
      </w:pPr>
      <w:bookmarkStart w:id="11" w:name="_Toc146539133"/>
      <w:r w:rsidRPr="004F488D">
        <w:rPr>
          <w:rFonts w:eastAsia="Times New Roman"/>
          <w:color w:val="auto"/>
        </w:rPr>
        <w:t>QËLLIMI</w:t>
      </w:r>
      <w:bookmarkEnd w:id="11"/>
      <w:r w:rsidRPr="004F488D">
        <w:rPr>
          <w:rFonts w:eastAsia="Times New Roman"/>
          <w:color w:val="auto"/>
        </w:rPr>
        <w:t xml:space="preserve"> </w:t>
      </w:r>
    </w:p>
    <w:p w14:paraId="5DA0A2E1" w14:textId="73A2DF34" w:rsidR="005E4114" w:rsidRPr="004F488D" w:rsidRDefault="00F21A88" w:rsidP="001952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N</w:t>
      </w:r>
      <w:r w:rsidR="0084625A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p</w:t>
      </w:r>
      <w:r w:rsidR="0084625A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rmjet </w:t>
      </w:r>
      <w:r w:rsidR="009338FB"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procedurës së prokurimit kërkohet të </w:t>
      </w:r>
      <w:r w:rsidR="00DF309F" w:rsidRPr="004F488D">
        <w:rPr>
          <w:rFonts w:ascii="Times New Roman" w:eastAsiaTheme="minorEastAsia" w:hAnsi="Times New Roman" w:cs="Times New Roman"/>
          <w:bCs/>
          <w:sz w:val="24"/>
          <w:szCs w:val="24"/>
        </w:rPr>
        <w:t>sigurohe</w:t>
      </w:r>
      <w:r w:rsidR="005E4114"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t lëndë djegëse sipas nevojës për përdorim nga TEC Lundrues, </w:t>
      </w:r>
      <w:r w:rsidR="001952DD"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e cila do të dorëzohet në </w:t>
      </w:r>
      <w:proofErr w:type="spellStart"/>
      <w:r w:rsidR="001952DD" w:rsidRPr="004F488D">
        <w:rPr>
          <w:rFonts w:ascii="Times New Roman" w:eastAsiaTheme="minorEastAsia" w:hAnsi="Times New Roman" w:cs="Times New Roman"/>
          <w:bCs/>
          <w:sz w:val="24"/>
          <w:szCs w:val="24"/>
        </w:rPr>
        <w:t>vëndin</w:t>
      </w:r>
      <w:proofErr w:type="spellEnd"/>
      <w:r w:rsidR="001952DD"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e depozitimit (PIA) në një ngarkesë të vetme.</w:t>
      </w:r>
      <w:r w:rsidR="005E4114"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14:paraId="76956B20" w14:textId="77777777" w:rsidR="00AF111B" w:rsidRPr="004F488D" w:rsidRDefault="00AF111B" w:rsidP="00C7793D">
      <w:pPr>
        <w:pStyle w:val="Heading2"/>
        <w:spacing w:line="276" w:lineRule="auto"/>
        <w:rPr>
          <w:color w:val="auto"/>
        </w:rPr>
      </w:pPr>
      <w:bookmarkStart w:id="12" w:name="_Toc146539135"/>
      <w:r w:rsidRPr="004F488D">
        <w:rPr>
          <w:color w:val="auto"/>
        </w:rPr>
        <w:t xml:space="preserve">Karakteristikat </w:t>
      </w:r>
      <w:r w:rsidR="009338FB" w:rsidRPr="004F488D">
        <w:rPr>
          <w:color w:val="auto"/>
        </w:rPr>
        <w:t>e shërbimit</w:t>
      </w:r>
      <w:bookmarkEnd w:id="12"/>
    </w:p>
    <w:p w14:paraId="5D3B9F36" w14:textId="77777777" w:rsidR="00AF111B" w:rsidRPr="004F488D" w:rsidRDefault="005E4114" w:rsidP="00C7793D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lang w:val="sq-AL"/>
        </w:rPr>
      </w:pPr>
      <w:r w:rsidRPr="004F488D">
        <w:rPr>
          <w:rFonts w:ascii="Times New Roman" w:hAnsi="Times New Roman"/>
          <w:b/>
          <w:lang w:val="sq-AL"/>
        </w:rPr>
        <w:t>Furnizimi</w:t>
      </w:r>
    </w:p>
    <w:p w14:paraId="5357CCBB" w14:textId="77777777" w:rsidR="005E4114" w:rsidRPr="004F488D" w:rsidRDefault="005E4114" w:rsidP="00C7793D">
      <w:p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488D">
        <w:rPr>
          <w:rFonts w:ascii="Times New Roman" w:eastAsia="MS Mincho" w:hAnsi="Times New Roman" w:cs="Times New Roman"/>
          <w:sz w:val="24"/>
          <w:szCs w:val="24"/>
        </w:rPr>
        <w:t xml:space="preserve">Furnizimi do të realizohet sipas llojit të përcaktuar në këtë dokument. </w:t>
      </w:r>
    </w:p>
    <w:p w14:paraId="6A561446" w14:textId="54C47C4B" w:rsidR="005E4114" w:rsidRPr="004F488D" w:rsidRDefault="005E4114" w:rsidP="00C7793D">
      <w:p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488D">
        <w:rPr>
          <w:rFonts w:ascii="Times New Roman" w:eastAsia="MS Mincho" w:hAnsi="Times New Roman" w:cs="Times New Roman"/>
          <w:sz w:val="24"/>
          <w:szCs w:val="24"/>
        </w:rPr>
        <w:t xml:space="preserve">Furnizuesi </w:t>
      </w:r>
      <w:r w:rsidR="00883BCC" w:rsidRPr="004F488D">
        <w:rPr>
          <w:rFonts w:ascii="Times New Roman" w:eastAsia="MS Mincho" w:hAnsi="Times New Roman" w:cs="Times New Roman"/>
          <w:sz w:val="24"/>
          <w:szCs w:val="24"/>
        </w:rPr>
        <w:t xml:space="preserve">duhet </w:t>
      </w:r>
      <w:r w:rsidRPr="004F488D">
        <w:rPr>
          <w:rFonts w:ascii="Times New Roman" w:eastAsia="MS Mincho" w:hAnsi="Times New Roman" w:cs="Times New Roman"/>
          <w:sz w:val="24"/>
          <w:szCs w:val="24"/>
        </w:rPr>
        <w:t xml:space="preserve">të përdorë transportin ujor për realizimin e furnizimit në depozita. </w:t>
      </w:r>
    </w:p>
    <w:p w14:paraId="0354A251" w14:textId="00E46FF4" w:rsidR="005E4114" w:rsidRPr="004F488D" w:rsidRDefault="005E4114" w:rsidP="00C7793D">
      <w:p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488D">
        <w:rPr>
          <w:rFonts w:ascii="Times New Roman" w:eastAsia="MS Mincho" w:hAnsi="Times New Roman" w:cs="Times New Roman"/>
          <w:sz w:val="24"/>
          <w:szCs w:val="24"/>
        </w:rPr>
        <w:t xml:space="preserve">Furnizimi do të jepet sipas </w:t>
      </w:r>
      <w:r w:rsidR="002F5117" w:rsidRPr="004F488D">
        <w:rPr>
          <w:rFonts w:ascii="Times New Roman" w:eastAsia="MS Mincho" w:hAnsi="Times New Roman" w:cs="Times New Roman"/>
          <w:sz w:val="24"/>
          <w:szCs w:val="24"/>
        </w:rPr>
        <w:t>p</w:t>
      </w:r>
      <w:r w:rsidR="00724363" w:rsidRPr="004F488D">
        <w:rPr>
          <w:rFonts w:ascii="Times New Roman" w:eastAsia="MS Mincho" w:hAnsi="Times New Roman" w:cs="Times New Roman"/>
          <w:sz w:val="24"/>
          <w:szCs w:val="24"/>
        </w:rPr>
        <w:t>ë</w:t>
      </w:r>
      <w:r w:rsidR="002F5117" w:rsidRPr="004F488D">
        <w:rPr>
          <w:rFonts w:ascii="Times New Roman" w:eastAsia="MS Mincho" w:hAnsi="Times New Roman" w:cs="Times New Roman"/>
          <w:sz w:val="24"/>
          <w:szCs w:val="24"/>
        </w:rPr>
        <w:t xml:space="preserve">rcaktimit nga </w:t>
      </w:r>
      <w:r w:rsidR="000B3803" w:rsidRPr="004F488D">
        <w:rPr>
          <w:rFonts w:ascii="Times New Roman" w:eastAsia="MS Mincho" w:hAnsi="Times New Roman" w:cs="Times New Roman"/>
          <w:sz w:val="24"/>
          <w:szCs w:val="24"/>
        </w:rPr>
        <w:t>KESH sha</w:t>
      </w:r>
      <w:r w:rsidR="00903C1D" w:rsidRPr="004F488D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60E3AB94" w14:textId="77777777" w:rsidR="003F5DD6" w:rsidRPr="004F488D" w:rsidRDefault="009338FB" w:rsidP="00C7793D">
      <w:pPr>
        <w:pStyle w:val="Heading2"/>
        <w:spacing w:line="276" w:lineRule="auto"/>
        <w:rPr>
          <w:color w:val="auto"/>
        </w:rPr>
      </w:pPr>
      <w:bookmarkStart w:id="13" w:name="_Toc146539136"/>
      <w:r w:rsidRPr="004F488D">
        <w:rPr>
          <w:color w:val="auto"/>
        </w:rPr>
        <w:t>Forma e ofrimit e kërkuar</w:t>
      </w:r>
      <w:bookmarkEnd w:id="13"/>
      <w:r w:rsidR="002A0203" w:rsidRPr="004F488D">
        <w:rPr>
          <w:color w:val="auto"/>
        </w:rPr>
        <w:t xml:space="preserve"> </w:t>
      </w:r>
    </w:p>
    <w:p w14:paraId="193A48C7" w14:textId="24186B09" w:rsidR="005E4114" w:rsidRPr="004F488D" w:rsidRDefault="002A0203" w:rsidP="00C7793D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8D">
        <w:rPr>
          <w:rFonts w:ascii="Times New Roman" w:hAnsi="Times New Roman" w:cs="Times New Roman"/>
          <w:sz w:val="24"/>
          <w:szCs w:val="24"/>
        </w:rPr>
        <w:t>P</w:t>
      </w:r>
      <w:r w:rsidR="00C66DA8" w:rsidRPr="004F488D">
        <w:rPr>
          <w:rFonts w:ascii="Times New Roman" w:hAnsi="Times New Roman" w:cs="Times New Roman"/>
          <w:sz w:val="24"/>
          <w:szCs w:val="24"/>
        </w:rPr>
        <w:t>ë</w:t>
      </w:r>
      <w:r w:rsidRPr="004F488D">
        <w:rPr>
          <w:rFonts w:ascii="Times New Roman" w:hAnsi="Times New Roman" w:cs="Times New Roman"/>
          <w:sz w:val="24"/>
          <w:szCs w:val="24"/>
        </w:rPr>
        <w:t xml:space="preserve">r </w:t>
      </w:r>
      <w:r w:rsidR="005E4114" w:rsidRPr="004F488D">
        <w:rPr>
          <w:rFonts w:ascii="Times New Roman" w:hAnsi="Times New Roman" w:cs="Times New Roman"/>
          <w:sz w:val="24"/>
          <w:szCs w:val="24"/>
        </w:rPr>
        <w:t xml:space="preserve">furnizimet e kërkuara, </w:t>
      </w:r>
      <w:r w:rsidR="009338FB" w:rsidRPr="004F488D">
        <w:rPr>
          <w:rFonts w:ascii="Times New Roman" w:hAnsi="Times New Roman" w:cs="Times New Roman"/>
          <w:sz w:val="24"/>
          <w:szCs w:val="24"/>
        </w:rPr>
        <w:t xml:space="preserve">propozohet që oferta të kërkohet bazuar në veprimtarinë e realizuar, </w:t>
      </w:r>
      <w:r w:rsidR="005E4114" w:rsidRPr="004F488D">
        <w:rPr>
          <w:rFonts w:ascii="Times New Roman" w:hAnsi="Times New Roman" w:cs="Times New Roman"/>
          <w:sz w:val="24"/>
          <w:szCs w:val="24"/>
        </w:rPr>
        <w:t xml:space="preserve">furnizim në vendin e </w:t>
      </w:r>
      <w:r w:rsidR="00D40F5D" w:rsidRPr="004F488D">
        <w:rPr>
          <w:rFonts w:ascii="Times New Roman" w:hAnsi="Times New Roman" w:cs="Times New Roman"/>
          <w:sz w:val="24"/>
          <w:szCs w:val="24"/>
        </w:rPr>
        <w:t>depozitimit</w:t>
      </w:r>
      <w:r w:rsidR="005E4114" w:rsidRPr="004F488D">
        <w:rPr>
          <w:rFonts w:ascii="Times New Roman" w:hAnsi="Times New Roman" w:cs="Times New Roman"/>
          <w:sz w:val="24"/>
          <w:szCs w:val="24"/>
        </w:rPr>
        <w:t>:</w:t>
      </w:r>
    </w:p>
    <w:p w14:paraId="7699ED85" w14:textId="381A80EF" w:rsidR="005E4114" w:rsidRPr="004F488D" w:rsidRDefault="005E4114">
      <w:pPr>
        <w:pStyle w:val="ListParagraph"/>
        <w:numPr>
          <w:ilvl w:val="0"/>
          <w:numId w:val="12"/>
        </w:numPr>
        <w:spacing w:before="120" w:after="120" w:line="276" w:lineRule="auto"/>
        <w:jc w:val="both"/>
        <w:rPr>
          <w:rFonts w:ascii="Times New Roman" w:hAnsi="Times New Roman"/>
        </w:rPr>
      </w:pPr>
      <w:proofErr w:type="spellStart"/>
      <w:r w:rsidRPr="004F488D">
        <w:rPr>
          <w:rFonts w:ascii="Times New Roman" w:hAnsi="Times New Roman"/>
        </w:rPr>
        <w:t>Furnizim</w:t>
      </w:r>
      <w:proofErr w:type="spellEnd"/>
      <w:r w:rsidRPr="004F488D">
        <w:rPr>
          <w:rFonts w:ascii="Times New Roman" w:hAnsi="Times New Roman"/>
        </w:rPr>
        <w:t xml:space="preserve"> ne </w:t>
      </w:r>
      <w:proofErr w:type="spellStart"/>
      <w:r w:rsidRPr="004F488D">
        <w:rPr>
          <w:rFonts w:ascii="Times New Roman" w:hAnsi="Times New Roman"/>
        </w:rPr>
        <w:t>vendin</w:t>
      </w:r>
      <w:proofErr w:type="spellEnd"/>
      <w:r w:rsidRPr="004F488D">
        <w:rPr>
          <w:rFonts w:ascii="Times New Roman" w:hAnsi="Times New Roman"/>
        </w:rPr>
        <w:t xml:space="preserve"> e </w:t>
      </w:r>
      <w:proofErr w:type="spellStart"/>
      <w:r w:rsidR="00903C1D" w:rsidRPr="004F488D">
        <w:rPr>
          <w:rFonts w:ascii="Times New Roman" w:hAnsi="Times New Roman"/>
        </w:rPr>
        <w:t>depozitimit</w:t>
      </w:r>
      <w:proofErr w:type="spellEnd"/>
      <w:r w:rsidRPr="004F488D">
        <w:rPr>
          <w:rFonts w:ascii="Times New Roman" w:hAnsi="Times New Roman"/>
        </w:rPr>
        <w:t xml:space="preserve">, </w:t>
      </w:r>
      <w:proofErr w:type="spellStart"/>
      <w:r w:rsidRPr="004F488D">
        <w:rPr>
          <w:rFonts w:ascii="Times New Roman" w:hAnsi="Times New Roman"/>
        </w:rPr>
        <w:t>për</w:t>
      </w:r>
      <w:proofErr w:type="spellEnd"/>
      <w:r w:rsidRPr="004F488D">
        <w:rPr>
          <w:rFonts w:ascii="Times New Roman" w:hAnsi="Times New Roman"/>
        </w:rPr>
        <w:t xml:space="preserve"> </w:t>
      </w:r>
      <w:proofErr w:type="spellStart"/>
      <w:r w:rsidRPr="004F488D">
        <w:rPr>
          <w:rFonts w:ascii="Times New Roman" w:hAnsi="Times New Roman"/>
        </w:rPr>
        <w:t>lëndën</w:t>
      </w:r>
      <w:proofErr w:type="spellEnd"/>
      <w:r w:rsidRPr="004F488D">
        <w:rPr>
          <w:rFonts w:ascii="Times New Roman" w:hAnsi="Times New Roman"/>
        </w:rPr>
        <w:t xml:space="preserve"> </w:t>
      </w:r>
      <w:proofErr w:type="spellStart"/>
      <w:r w:rsidRPr="004F488D">
        <w:rPr>
          <w:rFonts w:ascii="Times New Roman" w:hAnsi="Times New Roman"/>
        </w:rPr>
        <w:t>djegëse</w:t>
      </w:r>
      <w:proofErr w:type="spellEnd"/>
      <w:r w:rsidRPr="004F488D">
        <w:rPr>
          <w:rFonts w:ascii="Times New Roman" w:hAnsi="Times New Roman"/>
        </w:rPr>
        <w:t xml:space="preserve"> </w:t>
      </w:r>
      <w:r w:rsidR="009338FB" w:rsidRPr="004F488D">
        <w:rPr>
          <w:rFonts w:ascii="Times New Roman" w:hAnsi="Times New Roman"/>
        </w:rPr>
        <w:t xml:space="preserve">reference RME 180 </w:t>
      </w:r>
      <w:proofErr w:type="spellStart"/>
      <w:r w:rsidR="009338FB" w:rsidRPr="004F488D">
        <w:rPr>
          <w:rFonts w:ascii="Times New Roman" w:hAnsi="Times New Roman"/>
        </w:rPr>
        <w:t>ccts</w:t>
      </w:r>
      <w:proofErr w:type="spellEnd"/>
      <w:r w:rsidR="009338FB" w:rsidRPr="004F488D">
        <w:rPr>
          <w:rFonts w:ascii="Times New Roman" w:hAnsi="Times New Roman"/>
        </w:rPr>
        <w:t xml:space="preserve">, </w:t>
      </w:r>
      <w:proofErr w:type="spellStart"/>
      <w:r w:rsidR="009338FB" w:rsidRPr="004F488D">
        <w:rPr>
          <w:rFonts w:ascii="Times New Roman" w:hAnsi="Times New Roman"/>
        </w:rPr>
        <w:t>sipas</w:t>
      </w:r>
      <w:proofErr w:type="spellEnd"/>
      <w:r w:rsidR="009338FB" w:rsidRPr="004F488D">
        <w:rPr>
          <w:rFonts w:ascii="Times New Roman" w:hAnsi="Times New Roman"/>
        </w:rPr>
        <w:t xml:space="preserve"> ISO 8217</w:t>
      </w:r>
      <w:r w:rsidRPr="004F488D">
        <w:rPr>
          <w:rFonts w:ascii="Times New Roman" w:hAnsi="Times New Roman"/>
        </w:rPr>
        <w:t xml:space="preserve">. </w:t>
      </w:r>
      <w:r w:rsidR="009338FB" w:rsidRPr="004F488D">
        <w:rPr>
          <w:rFonts w:ascii="Times New Roman" w:hAnsi="Times New Roman"/>
        </w:rPr>
        <w:t xml:space="preserve"> </w:t>
      </w:r>
      <w:proofErr w:type="spellStart"/>
      <w:r w:rsidR="009338FB" w:rsidRPr="004F488D">
        <w:rPr>
          <w:rFonts w:ascii="Times New Roman" w:hAnsi="Times New Roman"/>
        </w:rPr>
        <w:t>Çmimi</w:t>
      </w:r>
      <w:proofErr w:type="spellEnd"/>
      <w:r w:rsidR="009338FB" w:rsidRPr="004F488D">
        <w:rPr>
          <w:rFonts w:ascii="Times New Roman" w:hAnsi="Times New Roman"/>
        </w:rPr>
        <w:t xml:space="preserve"> </w:t>
      </w:r>
      <w:proofErr w:type="spellStart"/>
      <w:r w:rsidR="009338FB" w:rsidRPr="004F488D">
        <w:rPr>
          <w:rFonts w:ascii="Times New Roman" w:hAnsi="Times New Roman"/>
        </w:rPr>
        <w:t>i</w:t>
      </w:r>
      <w:proofErr w:type="spellEnd"/>
      <w:r w:rsidR="009338FB" w:rsidRPr="004F488D">
        <w:rPr>
          <w:rFonts w:ascii="Times New Roman" w:hAnsi="Times New Roman"/>
        </w:rPr>
        <w:t xml:space="preserve"> </w:t>
      </w:r>
      <w:proofErr w:type="spellStart"/>
      <w:r w:rsidR="009338FB" w:rsidRPr="004F488D">
        <w:rPr>
          <w:rFonts w:ascii="Times New Roman" w:hAnsi="Times New Roman"/>
        </w:rPr>
        <w:t>ofruar</w:t>
      </w:r>
      <w:proofErr w:type="spellEnd"/>
      <w:r w:rsidR="009338FB" w:rsidRPr="004F488D">
        <w:rPr>
          <w:rFonts w:ascii="Times New Roman" w:hAnsi="Times New Roman"/>
        </w:rPr>
        <w:t xml:space="preserve"> </w:t>
      </w:r>
      <w:proofErr w:type="spellStart"/>
      <w:r w:rsidR="009338FB" w:rsidRPr="004F488D">
        <w:rPr>
          <w:rFonts w:ascii="Times New Roman" w:hAnsi="Times New Roman"/>
        </w:rPr>
        <w:t>në</w:t>
      </w:r>
      <w:proofErr w:type="spellEnd"/>
      <w:r w:rsidR="009338FB" w:rsidRPr="004F488D">
        <w:rPr>
          <w:rFonts w:ascii="Times New Roman" w:hAnsi="Times New Roman"/>
        </w:rPr>
        <w:t xml:space="preserve"> </w:t>
      </w:r>
      <w:proofErr w:type="spellStart"/>
      <w:r w:rsidRPr="004F488D">
        <w:rPr>
          <w:rFonts w:ascii="Times New Roman" w:hAnsi="Times New Roman"/>
        </w:rPr>
        <w:t>Cmim</w:t>
      </w:r>
      <w:proofErr w:type="spellEnd"/>
      <w:r w:rsidRPr="004F488D">
        <w:rPr>
          <w:rFonts w:ascii="Times New Roman" w:hAnsi="Times New Roman"/>
        </w:rPr>
        <w:t xml:space="preserve"> </w:t>
      </w:r>
      <w:proofErr w:type="spellStart"/>
      <w:r w:rsidRPr="004F488D">
        <w:rPr>
          <w:rFonts w:ascii="Times New Roman" w:hAnsi="Times New Roman"/>
        </w:rPr>
        <w:t>refernce</w:t>
      </w:r>
      <w:proofErr w:type="spellEnd"/>
      <w:r w:rsidRPr="004F488D">
        <w:rPr>
          <w:rFonts w:ascii="Times New Roman" w:hAnsi="Times New Roman"/>
        </w:rPr>
        <w:t xml:space="preserve"> Marine Fuel oil 0.5% </w:t>
      </w:r>
      <w:proofErr w:type="spellStart"/>
      <w:r w:rsidRPr="004F488D">
        <w:rPr>
          <w:rFonts w:ascii="Times New Roman" w:hAnsi="Times New Roman"/>
        </w:rPr>
        <w:t>Squfur</w:t>
      </w:r>
      <w:proofErr w:type="spellEnd"/>
      <w:r w:rsidRPr="004F488D">
        <w:rPr>
          <w:rFonts w:ascii="Times New Roman" w:hAnsi="Times New Roman"/>
        </w:rPr>
        <w:t xml:space="preserve">, </w:t>
      </w:r>
      <w:r w:rsidR="005435CC" w:rsidRPr="004F488D">
        <w:rPr>
          <w:rFonts w:ascii="Times New Roman" w:hAnsi="Times New Roman"/>
        </w:rPr>
        <w:t xml:space="preserve">DPU </w:t>
      </w:r>
      <w:r w:rsidR="00B24289" w:rsidRPr="004F488D">
        <w:rPr>
          <w:rFonts w:ascii="Times New Roman" w:hAnsi="Times New Roman"/>
        </w:rPr>
        <w:t>MED</w:t>
      </w:r>
      <w:r w:rsidRPr="004F488D">
        <w:rPr>
          <w:rFonts w:ascii="Times New Roman" w:hAnsi="Times New Roman"/>
        </w:rPr>
        <w:t xml:space="preserve">, Platts </w:t>
      </w:r>
      <w:proofErr w:type="spellStart"/>
      <w:r w:rsidRPr="004F488D">
        <w:rPr>
          <w:rFonts w:ascii="Times New Roman" w:hAnsi="Times New Roman"/>
        </w:rPr>
        <w:t>i</w:t>
      </w:r>
      <w:proofErr w:type="spellEnd"/>
      <w:r w:rsidRPr="004F488D">
        <w:rPr>
          <w:rFonts w:ascii="Times New Roman" w:hAnsi="Times New Roman"/>
        </w:rPr>
        <w:t xml:space="preserve"> </w:t>
      </w:r>
      <w:proofErr w:type="spellStart"/>
      <w:r w:rsidRPr="004F488D">
        <w:rPr>
          <w:rFonts w:ascii="Times New Roman" w:hAnsi="Times New Roman"/>
        </w:rPr>
        <w:t>ditës</w:t>
      </w:r>
      <w:proofErr w:type="spellEnd"/>
      <w:r w:rsidRPr="004F488D">
        <w:rPr>
          <w:rFonts w:ascii="Times New Roman" w:hAnsi="Times New Roman"/>
        </w:rPr>
        <w:t xml:space="preserve"> </w:t>
      </w:r>
      <w:proofErr w:type="spellStart"/>
      <w:r w:rsidRPr="004F488D">
        <w:rPr>
          <w:rFonts w:ascii="Times New Roman" w:hAnsi="Times New Roman"/>
        </w:rPr>
        <w:t>së</w:t>
      </w:r>
      <w:proofErr w:type="spellEnd"/>
      <w:r w:rsidRPr="004F488D">
        <w:rPr>
          <w:rFonts w:ascii="Times New Roman" w:hAnsi="Times New Roman"/>
        </w:rPr>
        <w:t xml:space="preserve"> </w:t>
      </w:r>
      <w:proofErr w:type="spellStart"/>
      <w:proofErr w:type="gramStart"/>
      <w:r w:rsidR="00903C1D" w:rsidRPr="004F488D">
        <w:rPr>
          <w:rFonts w:ascii="Times New Roman" w:hAnsi="Times New Roman"/>
        </w:rPr>
        <w:t>NoR</w:t>
      </w:r>
      <w:proofErr w:type="spellEnd"/>
      <w:proofErr w:type="gramEnd"/>
      <w:r w:rsidR="00903C1D" w:rsidRPr="004F488D">
        <w:rPr>
          <w:rFonts w:ascii="Times New Roman" w:hAnsi="Times New Roman"/>
        </w:rPr>
        <w:t xml:space="preserve"> </w:t>
      </w:r>
      <w:r w:rsidRPr="004F488D">
        <w:rPr>
          <w:rFonts w:ascii="Times New Roman" w:hAnsi="Times New Roman"/>
        </w:rPr>
        <w:t xml:space="preserve">plus </w:t>
      </w:r>
      <w:proofErr w:type="spellStart"/>
      <w:r w:rsidRPr="004F488D">
        <w:rPr>
          <w:rFonts w:ascii="Times New Roman" w:hAnsi="Times New Roman"/>
        </w:rPr>
        <w:t>Cmimi</w:t>
      </w:r>
      <w:proofErr w:type="spellEnd"/>
      <w:r w:rsidRPr="004F488D">
        <w:rPr>
          <w:rFonts w:ascii="Times New Roman" w:hAnsi="Times New Roman"/>
        </w:rPr>
        <w:t xml:space="preserve"> Premium </w:t>
      </w:r>
      <w:proofErr w:type="spellStart"/>
      <w:r w:rsidRPr="004F488D">
        <w:rPr>
          <w:rFonts w:ascii="Times New Roman" w:hAnsi="Times New Roman"/>
        </w:rPr>
        <w:t>i</w:t>
      </w:r>
      <w:proofErr w:type="spellEnd"/>
      <w:r w:rsidRPr="004F488D">
        <w:rPr>
          <w:rFonts w:ascii="Times New Roman" w:hAnsi="Times New Roman"/>
        </w:rPr>
        <w:t xml:space="preserve"> </w:t>
      </w:r>
      <w:proofErr w:type="spellStart"/>
      <w:r w:rsidRPr="004F488D">
        <w:rPr>
          <w:rFonts w:ascii="Times New Roman" w:hAnsi="Times New Roman"/>
        </w:rPr>
        <w:t>ofruar</w:t>
      </w:r>
      <w:proofErr w:type="spellEnd"/>
      <w:r w:rsidRPr="004F488D">
        <w:rPr>
          <w:rFonts w:ascii="Times New Roman" w:hAnsi="Times New Roman"/>
        </w:rPr>
        <w:t>. Ne USD/Ton</w:t>
      </w:r>
      <w:r w:rsidR="009338FB" w:rsidRPr="004F488D">
        <w:rPr>
          <w:rFonts w:ascii="Times New Roman" w:hAnsi="Times New Roman"/>
        </w:rPr>
        <w:t>.</w:t>
      </w:r>
      <w:r w:rsidR="003C14E2" w:rsidRPr="004F488D">
        <w:rPr>
          <w:rFonts w:ascii="Times New Roman" w:hAnsi="Times New Roman"/>
        </w:rPr>
        <w:t xml:space="preserve"> </w:t>
      </w:r>
    </w:p>
    <w:p w14:paraId="0A39FEC1" w14:textId="4A841F85" w:rsidR="005E4114" w:rsidRPr="004F488D" w:rsidRDefault="006E2C06" w:rsidP="00C7793D">
      <w:pPr>
        <w:pStyle w:val="ListParagraph"/>
        <w:numPr>
          <w:ilvl w:val="0"/>
          <w:numId w:val="12"/>
        </w:numPr>
        <w:spacing w:before="120" w:after="120" w:line="276" w:lineRule="auto"/>
        <w:jc w:val="both"/>
        <w:rPr>
          <w:rFonts w:ascii="Times New Roman" w:hAnsi="Times New Roman"/>
          <w:lang w:val="sq-AL"/>
        </w:rPr>
      </w:pPr>
      <w:r w:rsidRPr="004F488D">
        <w:rPr>
          <w:rFonts w:ascii="Times New Roman" w:hAnsi="Times New Roman"/>
          <w:lang w:val="sq-AL"/>
        </w:rPr>
        <w:t>Çmimi</w:t>
      </w:r>
      <w:r w:rsidR="005E4114" w:rsidRPr="004F488D">
        <w:rPr>
          <w:rFonts w:ascii="Times New Roman" w:hAnsi="Times New Roman"/>
          <w:lang w:val="sq-AL"/>
        </w:rPr>
        <w:t xml:space="preserve"> me i ulet i ofruar nga operator</w:t>
      </w:r>
      <w:r w:rsidR="00760D45" w:rsidRPr="004F488D">
        <w:rPr>
          <w:rFonts w:ascii="Times New Roman" w:hAnsi="Times New Roman"/>
          <w:lang w:val="sq-AL"/>
        </w:rPr>
        <w:t>ë</w:t>
      </w:r>
      <w:r w:rsidR="005E4114" w:rsidRPr="004F488D">
        <w:rPr>
          <w:rFonts w:ascii="Times New Roman" w:hAnsi="Times New Roman"/>
          <w:lang w:val="sq-AL"/>
        </w:rPr>
        <w:t xml:space="preserve">t e kualifikuar </w:t>
      </w:r>
      <w:r w:rsidR="00D40F5D" w:rsidRPr="004F488D">
        <w:rPr>
          <w:rFonts w:ascii="Times New Roman" w:hAnsi="Times New Roman"/>
          <w:lang w:val="sq-AL"/>
        </w:rPr>
        <w:t>do t</w:t>
      </w:r>
      <w:r w:rsidR="00724363" w:rsidRPr="004F488D">
        <w:rPr>
          <w:rFonts w:ascii="Times New Roman" w:hAnsi="Times New Roman"/>
          <w:lang w:val="sq-AL"/>
        </w:rPr>
        <w:t>ë</w:t>
      </w:r>
      <w:r w:rsidR="00D40F5D" w:rsidRPr="004F488D">
        <w:rPr>
          <w:rFonts w:ascii="Times New Roman" w:hAnsi="Times New Roman"/>
          <w:lang w:val="sq-AL"/>
        </w:rPr>
        <w:t xml:space="preserve"> sh</w:t>
      </w:r>
      <w:r w:rsidR="00724363" w:rsidRPr="004F488D">
        <w:rPr>
          <w:rFonts w:ascii="Times New Roman" w:hAnsi="Times New Roman"/>
          <w:lang w:val="sq-AL"/>
        </w:rPr>
        <w:t>ë</w:t>
      </w:r>
      <w:r w:rsidR="00D40F5D" w:rsidRPr="004F488D">
        <w:rPr>
          <w:rFonts w:ascii="Times New Roman" w:hAnsi="Times New Roman"/>
          <w:lang w:val="sq-AL"/>
        </w:rPr>
        <w:t>rbej</w:t>
      </w:r>
      <w:r w:rsidR="00724363" w:rsidRPr="004F488D">
        <w:rPr>
          <w:rFonts w:ascii="Times New Roman" w:hAnsi="Times New Roman"/>
          <w:lang w:val="sq-AL"/>
        </w:rPr>
        <w:t>ë</w:t>
      </w:r>
      <w:r w:rsidR="00D40F5D" w:rsidRPr="004F488D">
        <w:rPr>
          <w:rFonts w:ascii="Times New Roman" w:hAnsi="Times New Roman"/>
          <w:lang w:val="sq-AL"/>
        </w:rPr>
        <w:t xml:space="preserve"> si baz</w:t>
      </w:r>
      <w:r w:rsidR="00724363" w:rsidRPr="004F488D">
        <w:rPr>
          <w:rFonts w:ascii="Times New Roman" w:hAnsi="Times New Roman"/>
          <w:lang w:val="sq-AL"/>
        </w:rPr>
        <w:t>ë</w:t>
      </w:r>
      <w:r w:rsidR="00D40F5D" w:rsidRPr="004F488D">
        <w:rPr>
          <w:rFonts w:ascii="Times New Roman" w:hAnsi="Times New Roman"/>
          <w:lang w:val="sq-AL"/>
        </w:rPr>
        <w:t xml:space="preserve"> p</w:t>
      </w:r>
      <w:r w:rsidR="00724363" w:rsidRPr="004F488D">
        <w:rPr>
          <w:rFonts w:ascii="Times New Roman" w:hAnsi="Times New Roman"/>
          <w:lang w:val="sq-AL"/>
        </w:rPr>
        <w:t>ë</w:t>
      </w:r>
      <w:r w:rsidR="00D40F5D" w:rsidRPr="004F488D">
        <w:rPr>
          <w:rFonts w:ascii="Times New Roman" w:hAnsi="Times New Roman"/>
          <w:lang w:val="sq-AL"/>
        </w:rPr>
        <w:t>r p</w:t>
      </w:r>
      <w:r w:rsidR="00724363" w:rsidRPr="004F488D">
        <w:rPr>
          <w:rFonts w:ascii="Times New Roman" w:hAnsi="Times New Roman"/>
          <w:lang w:val="sq-AL"/>
        </w:rPr>
        <w:t>ë</w:t>
      </w:r>
      <w:r w:rsidR="00D40F5D" w:rsidRPr="004F488D">
        <w:rPr>
          <w:rFonts w:ascii="Times New Roman" w:hAnsi="Times New Roman"/>
          <w:lang w:val="sq-AL"/>
        </w:rPr>
        <w:t xml:space="preserve">rzgjedhjen e </w:t>
      </w:r>
      <w:proofErr w:type="spellStart"/>
      <w:r w:rsidR="00D40F5D" w:rsidRPr="004F488D">
        <w:rPr>
          <w:rFonts w:ascii="Times New Roman" w:hAnsi="Times New Roman"/>
          <w:lang w:val="sq-AL"/>
        </w:rPr>
        <w:t>kontraktorit</w:t>
      </w:r>
      <w:proofErr w:type="spellEnd"/>
      <w:r w:rsidR="00D40F5D" w:rsidRPr="004F488D">
        <w:rPr>
          <w:rFonts w:ascii="Times New Roman" w:hAnsi="Times New Roman"/>
          <w:lang w:val="sq-AL"/>
        </w:rPr>
        <w:t xml:space="preserve"> fitues.</w:t>
      </w:r>
    </w:p>
    <w:p w14:paraId="308747C1" w14:textId="239EF953" w:rsidR="00A53328" w:rsidRPr="004F488D" w:rsidRDefault="00964EE8" w:rsidP="00C7793D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88D">
        <w:rPr>
          <w:rFonts w:ascii="Times New Roman" w:hAnsi="Times New Roman" w:cs="Times New Roman"/>
          <w:b/>
          <w:sz w:val="24"/>
          <w:szCs w:val="24"/>
        </w:rPr>
        <w:t>KESH sha</w:t>
      </w:r>
      <w:r w:rsidR="00A53328" w:rsidRPr="004F488D">
        <w:rPr>
          <w:rFonts w:ascii="Times New Roman" w:hAnsi="Times New Roman" w:cs="Times New Roman"/>
          <w:b/>
          <w:sz w:val="24"/>
          <w:szCs w:val="24"/>
        </w:rPr>
        <w:t xml:space="preserve"> mund te tërhiqet ne </w:t>
      </w:r>
      <w:proofErr w:type="spellStart"/>
      <w:r w:rsidR="00A53328" w:rsidRPr="004F488D">
        <w:rPr>
          <w:rFonts w:ascii="Times New Roman" w:hAnsi="Times New Roman" w:cs="Times New Roman"/>
          <w:b/>
          <w:sz w:val="24"/>
          <w:szCs w:val="24"/>
        </w:rPr>
        <w:t>cdo</w:t>
      </w:r>
      <w:proofErr w:type="spellEnd"/>
      <w:r w:rsidR="00A53328" w:rsidRPr="004F488D">
        <w:rPr>
          <w:rFonts w:ascii="Times New Roman" w:hAnsi="Times New Roman" w:cs="Times New Roman"/>
          <w:b/>
          <w:sz w:val="24"/>
          <w:szCs w:val="24"/>
        </w:rPr>
        <w:t xml:space="preserve"> moment nga negocimi i kontratës pa u përballur me pretendime nga ana e shitësit.</w:t>
      </w:r>
    </w:p>
    <w:p w14:paraId="6DEEFA44" w14:textId="6874DC63" w:rsidR="005E4114" w:rsidRPr="004F488D" w:rsidRDefault="009338FB" w:rsidP="00C7793D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8D">
        <w:rPr>
          <w:rFonts w:ascii="Times New Roman" w:hAnsi="Times New Roman" w:cs="Times New Roman"/>
          <w:sz w:val="24"/>
          <w:szCs w:val="24"/>
        </w:rPr>
        <w:t xml:space="preserve">Zgjidhje e njëanshme </w:t>
      </w:r>
      <w:r w:rsidR="005E4114" w:rsidRPr="004F488D">
        <w:rPr>
          <w:rFonts w:ascii="Times New Roman" w:hAnsi="Times New Roman" w:cs="Times New Roman"/>
          <w:sz w:val="24"/>
          <w:szCs w:val="24"/>
        </w:rPr>
        <w:t xml:space="preserve">e kontratës së furnizimit nga </w:t>
      </w:r>
      <w:r w:rsidR="000B3803" w:rsidRPr="004F488D">
        <w:rPr>
          <w:rFonts w:ascii="Times New Roman" w:hAnsi="Times New Roman" w:cs="Times New Roman"/>
          <w:sz w:val="24"/>
          <w:szCs w:val="24"/>
        </w:rPr>
        <w:t>KESH sha</w:t>
      </w:r>
      <w:r w:rsidR="005E4114" w:rsidRPr="004F488D">
        <w:rPr>
          <w:rFonts w:ascii="Times New Roman" w:hAnsi="Times New Roman" w:cs="Times New Roman"/>
          <w:sz w:val="24"/>
          <w:szCs w:val="24"/>
        </w:rPr>
        <w:t xml:space="preserve"> parashikohet kur nga ana e palës furnizuese nuk respektohet afati i furnizimit, në </w:t>
      </w:r>
      <w:proofErr w:type="spellStart"/>
      <w:r w:rsidR="005E4114" w:rsidRPr="004F488D">
        <w:rPr>
          <w:rFonts w:ascii="Times New Roman" w:hAnsi="Times New Roman" w:cs="Times New Roman"/>
          <w:sz w:val="24"/>
          <w:szCs w:val="24"/>
        </w:rPr>
        <w:t>menyrë</w:t>
      </w:r>
      <w:proofErr w:type="spellEnd"/>
      <w:r w:rsidR="005E4114" w:rsidRPr="004F488D">
        <w:rPr>
          <w:rFonts w:ascii="Times New Roman" w:hAnsi="Times New Roman" w:cs="Times New Roman"/>
          <w:sz w:val="24"/>
          <w:szCs w:val="24"/>
        </w:rPr>
        <w:t xml:space="preserve"> të përsëritur, kur cilësia e lëndës djegëse nuk është ajo e kërkuar, apo kur pala </w:t>
      </w:r>
      <w:proofErr w:type="spellStart"/>
      <w:r w:rsidR="005E4114" w:rsidRPr="004F488D">
        <w:rPr>
          <w:rFonts w:ascii="Times New Roman" w:hAnsi="Times New Roman" w:cs="Times New Roman"/>
          <w:sz w:val="24"/>
          <w:szCs w:val="24"/>
        </w:rPr>
        <w:t>kontraktore</w:t>
      </w:r>
      <w:proofErr w:type="spellEnd"/>
      <w:r w:rsidR="005E4114" w:rsidRPr="004F488D">
        <w:rPr>
          <w:rFonts w:ascii="Times New Roman" w:hAnsi="Times New Roman" w:cs="Times New Roman"/>
          <w:sz w:val="24"/>
          <w:szCs w:val="24"/>
        </w:rPr>
        <w:t xml:space="preserve"> me faj nuk përmbush detyrime te tjera </w:t>
      </w:r>
      <w:proofErr w:type="spellStart"/>
      <w:r w:rsidR="005E4114" w:rsidRPr="004F488D">
        <w:rPr>
          <w:rFonts w:ascii="Times New Roman" w:hAnsi="Times New Roman" w:cs="Times New Roman"/>
          <w:sz w:val="24"/>
          <w:szCs w:val="24"/>
        </w:rPr>
        <w:t>kontraktore</w:t>
      </w:r>
      <w:proofErr w:type="spellEnd"/>
      <w:r w:rsidR="005E4114" w:rsidRPr="004F48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03FFD6" w14:textId="1A88ED88" w:rsidR="005E4114" w:rsidRPr="004F488D" w:rsidRDefault="005E4114" w:rsidP="00C7793D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8D">
        <w:rPr>
          <w:rFonts w:ascii="Times New Roman" w:hAnsi="Times New Roman" w:cs="Times New Roman"/>
          <w:sz w:val="24"/>
          <w:szCs w:val="24"/>
        </w:rPr>
        <w:lastRenderedPageBreak/>
        <w:t xml:space="preserve">Për vonesa </w:t>
      </w:r>
      <w:r w:rsidR="002B4E80" w:rsidRPr="004F488D">
        <w:rPr>
          <w:rFonts w:ascii="Times New Roman" w:hAnsi="Times New Roman" w:cs="Times New Roman"/>
          <w:sz w:val="24"/>
          <w:szCs w:val="24"/>
        </w:rPr>
        <w:t xml:space="preserve">do të </w:t>
      </w:r>
      <w:r w:rsidRPr="004F488D">
        <w:rPr>
          <w:rFonts w:ascii="Times New Roman" w:hAnsi="Times New Roman" w:cs="Times New Roman"/>
          <w:sz w:val="24"/>
          <w:szCs w:val="24"/>
        </w:rPr>
        <w:t xml:space="preserve">aplikohen </w:t>
      </w:r>
      <w:proofErr w:type="spellStart"/>
      <w:r w:rsidRPr="004F488D">
        <w:rPr>
          <w:rFonts w:ascii="Times New Roman" w:hAnsi="Times New Roman" w:cs="Times New Roman"/>
          <w:sz w:val="24"/>
          <w:szCs w:val="24"/>
        </w:rPr>
        <w:t>penalitete</w:t>
      </w:r>
      <w:proofErr w:type="spellEnd"/>
      <w:r w:rsidR="002B4E80" w:rsidRPr="004F488D">
        <w:rPr>
          <w:rFonts w:ascii="Times New Roman" w:hAnsi="Times New Roman" w:cs="Times New Roman"/>
          <w:sz w:val="24"/>
          <w:szCs w:val="24"/>
        </w:rPr>
        <w:t>, që do të negociohen.</w:t>
      </w:r>
      <w:r w:rsidRPr="004F48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9F504" w14:textId="1FF98EAB" w:rsidR="002B4E80" w:rsidRPr="004F488D" w:rsidRDefault="002B4E80" w:rsidP="00C7793D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30565" w14:textId="77777777" w:rsidR="002B4E80" w:rsidRPr="004F488D" w:rsidRDefault="002B4E80" w:rsidP="00C7793D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2859A" w14:textId="6FFA78A8" w:rsidR="009338FB" w:rsidRPr="004F488D" w:rsidRDefault="009338FB" w:rsidP="00C7793D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D2119" w14:textId="77777777" w:rsidR="00DE149C" w:rsidRPr="004F488D" w:rsidRDefault="00DE149C" w:rsidP="0056008C">
      <w:pPr>
        <w:pStyle w:val="Heading1"/>
        <w:rPr>
          <w:rFonts w:eastAsia="Times New Roman"/>
          <w:color w:val="auto"/>
        </w:rPr>
      </w:pPr>
      <w:bookmarkStart w:id="14" w:name="_Toc146539138"/>
      <w:r w:rsidRPr="004F488D">
        <w:rPr>
          <w:rFonts w:eastAsia="Times New Roman"/>
          <w:color w:val="auto"/>
        </w:rPr>
        <w:t xml:space="preserve">Dokumentacioni </w:t>
      </w:r>
      <w:r w:rsidR="004911D2" w:rsidRPr="004F488D">
        <w:rPr>
          <w:rFonts w:eastAsia="Times New Roman"/>
          <w:color w:val="auto"/>
        </w:rPr>
        <w:t>TEKNIK</w:t>
      </w:r>
      <w:bookmarkEnd w:id="14"/>
      <w:r w:rsidR="004911D2" w:rsidRPr="004F488D">
        <w:rPr>
          <w:rFonts w:eastAsia="Times New Roman"/>
          <w:color w:val="auto"/>
        </w:rPr>
        <w:t xml:space="preserve"> </w:t>
      </w:r>
    </w:p>
    <w:p w14:paraId="278BBBFD" w14:textId="77777777" w:rsidR="00532819" w:rsidRPr="004F488D" w:rsidRDefault="009338FB" w:rsidP="00C779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8D">
        <w:rPr>
          <w:rFonts w:ascii="Times New Roman" w:hAnsi="Times New Roman" w:cs="Times New Roman"/>
          <w:sz w:val="24"/>
          <w:szCs w:val="24"/>
        </w:rPr>
        <w:t xml:space="preserve">Operatori duhet të sigurojë dokumentacion se disponon kapacitete teknike, ligjore dhe ekonomike që të ushtrojë veprimtarinë e kërkuar. </w:t>
      </w:r>
    </w:p>
    <w:p w14:paraId="36B78EC9" w14:textId="77777777" w:rsidR="009338FB" w:rsidRPr="004F488D" w:rsidRDefault="009338FB" w:rsidP="00C779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8D">
        <w:rPr>
          <w:rFonts w:ascii="Times New Roman" w:hAnsi="Times New Roman" w:cs="Times New Roman"/>
          <w:sz w:val="24"/>
          <w:szCs w:val="24"/>
        </w:rPr>
        <w:t xml:space="preserve">Në veçanti në aspektin teknik është e nevojshme që të deklarojë dhe sigurojë dokumentacion për </w:t>
      </w:r>
      <w:r w:rsidR="005E4114" w:rsidRPr="004F488D">
        <w:rPr>
          <w:rFonts w:ascii="Times New Roman" w:hAnsi="Times New Roman" w:cs="Times New Roman"/>
          <w:sz w:val="24"/>
          <w:szCs w:val="24"/>
        </w:rPr>
        <w:t xml:space="preserve">te vërtetuar se ushtrojnë veprimtari në përputhje me kërkesat për </w:t>
      </w:r>
      <w:r w:rsidRPr="004F488D">
        <w:rPr>
          <w:rFonts w:ascii="Times New Roman" w:hAnsi="Times New Roman" w:cs="Times New Roman"/>
          <w:sz w:val="24"/>
          <w:szCs w:val="24"/>
        </w:rPr>
        <w:t xml:space="preserve">sigurisë teknike, të shëndetit dhe sigurisë mjedisore. </w:t>
      </w:r>
    </w:p>
    <w:p w14:paraId="3AED7F80" w14:textId="77777777" w:rsidR="005F4EF0" w:rsidRPr="004F488D" w:rsidRDefault="005F4EF0" w:rsidP="00C7793D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411A1B" w14:textId="77777777" w:rsidR="005F4EF0" w:rsidRPr="004F488D" w:rsidRDefault="00532819" w:rsidP="00C7793D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488D">
        <w:rPr>
          <w:rFonts w:ascii="Times New Roman" w:eastAsia="Calibri" w:hAnsi="Times New Roman" w:cs="Times New Roman"/>
          <w:b/>
          <w:sz w:val="24"/>
          <w:szCs w:val="24"/>
        </w:rPr>
        <w:t>Grupi i punës</w:t>
      </w:r>
      <w:bookmarkStart w:id="15" w:name="_GoBack"/>
      <w:bookmarkEnd w:id="15"/>
    </w:p>
    <w:sectPr w:rsidR="005F4EF0" w:rsidRPr="004F488D" w:rsidSect="004015CD">
      <w:headerReference w:type="default" r:id="rId9"/>
      <w:footerReference w:type="default" r:id="rId10"/>
      <w:headerReference w:type="first" r:id="rId11"/>
      <w:footerReference w:type="first" r:id="rId12"/>
      <w:pgSz w:w="11910" w:h="16850"/>
      <w:pgMar w:top="1440" w:right="1440" w:bottom="1440" w:left="1440" w:header="720" w:footer="720" w:gutter="0"/>
      <w:pgNumType w:start="3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C12313" w16cex:dateUtc="2023-09-29T08:18:00Z"/>
  <w16cex:commentExtensible w16cex:durableId="28C12322" w16cex:dateUtc="2023-09-29T08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D9749" w14:textId="77777777" w:rsidR="00916DB0" w:rsidRDefault="00916DB0">
      <w:pPr>
        <w:spacing w:after="0" w:line="240" w:lineRule="auto"/>
      </w:pPr>
      <w:r>
        <w:separator/>
      </w:r>
    </w:p>
  </w:endnote>
  <w:endnote w:type="continuationSeparator" w:id="0">
    <w:p w14:paraId="78D98E5E" w14:textId="77777777" w:rsidR="00916DB0" w:rsidRDefault="009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44F24" w14:textId="59FBD454" w:rsidR="00916DB0" w:rsidRPr="002B7B25" w:rsidRDefault="00916DB0" w:rsidP="002B7B25">
    <w:pPr>
      <w:pBdr>
        <w:top w:val="single" w:sz="4" w:space="1" w:color="auto"/>
      </w:pBdr>
      <w:tabs>
        <w:tab w:val="right" w:pos="963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rPr>
        <w:rFonts w:ascii="Tahoma" w:hAnsi="Tahoma" w:cs="Tahoma"/>
        <w:sz w:val="14"/>
        <w:szCs w:val="14"/>
      </w:rPr>
    </w:pPr>
    <w:r w:rsidRPr="002B7B25">
      <w:rPr>
        <w:rFonts w:ascii="Tahoma" w:hAnsi="Tahoma" w:cs="Tahoma"/>
        <w:sz w:val="14"/>
        <w:szCs w:val="14"/>
        <w:lang w:val="it-IT"/>
      </w:rPr>
      <w:t xml:space="preserve">KESH sh.a.    |    Blloku “Vasil Shanto”, Tiranë,  |  Tel +355 4 2241981  |  Fax. </w:t>
    </w:r>
    <w:r w:rsidRPr="002B7B25">
      <w:rPr>
        <w:rFonts w:ascii="Tahoma" w:hAnsi="Tahoma" w:cs="Tahoma"/>
        <w:sz w:val="14"/>
        <w:szCs w:val="14"/>
        <w:lang w:val="it-IT"/>
      </w:rPr>
      <w:t xml:space="preserve">+355 4 </w:t>
    </w:r>
    <w:r w:rsidRPr="002B7B25">
      <w:rPr>
        <w:rFonts w:ascii="Tahoma" w:hAnsi="Tahoma" w:cs="Tahoma"/>
        <w:sz w:val="14"/>
        <w:szCs w:val="14"/>
        <w:lang w:val="it-IT"/>
      </w:rPr>
      <w:t xml:space="preserve">2232046  |  e-Mail: </w:t>
    </w:r>
    <w:r>
      <w:fldChar w:fldCharType="begin"/>
    </w:r>
    <w:r>
      <w:instrText xml:space="preserve"> HYPERLINK "mailto:mail@kesh.al" </w:instrText>
    </w:r>
    <w:r>
      <w:fldChar w:fldCharType="separate"/>
    </w:r>
    <w:r w:rsidRPr="002B7B25">
      <w:rPr>
        <w:rFonts w:ascii="Tahoma" w:hAnsi="Tahoma" w:cs="Tahoma"/>
        <w:color w:val="0000FF"/>
        <w:sz w:val="14"/>
        <w:szCs w:val="14"/>
        <w:u w:val="single"/>
        <w:lang w:val="it-IT"/>
      </w:rPr>
      <w:t>mail@kesh.al</w:t>
    </w:r>
    <w:r>
      <w:rPr>
        <w:rFonts w:ascii="Tahoma" w:hAnsi="Tahoma" w:cs="Tahoma"/>
        <w:color w:val="0000FF"/>
        <w:sz w:val="14"/>
        <w:szCs w:val="14"/>
        <w:u w:val="single"/>
        <w:lang w:val="it-IT"/>
      </w:rPr>
      <w:fldChar w:fldCharType="end"/>
    </w:r>
    <w:r w:rsidRPr="002B7B25">
      <w:rPr>
        <w:rFonts w:ascii="Tahoma" w:hAnsi="Tahoma" w:cs="Tahoma"/>
        <w:sz w:val="14"/>
        <w:szCs w:val="14"/>
        <w:lang w:val="it-IT"/>
      </w:rPr>
      <w:t xml:space="preserve">  | </w:t>
    </w:r>
    <w:r>
      <w:fldChar w:fldCharType="begin"/>
    </w:r>
    <w:r>
      <w:instrText xml:space="preserve"> HYPERLINK "http://www.kesh.al" </w:instrText>
    </w:r>
    <w:r>
      <w:fldChar w:fldCharType="separate"/>
    </w:r>
    <w:r>
      <w:rPr>
        <w:rFonts w:ascii="Tahoma" w:hAnsi="Tahoma" w:cs="Tahoma"/>
        <w:color w:val="0000FF"/>
        <w:sz w:val="14"/>
        <w:szCs w:val="14"/>
        <w:u w:val="single"/>
        <w:lang w:val="it-IT"/>
      </w:rPr>
      <w:t>www</w:t>
    </w:r>
    <w:r w:rsidRPr="002B7B25">
      <w:rPr>
        <w:rFonts w:ascii="Tahoma" w:hAnsi="Tahoma" w:cs="Tahoma"/>
        <w:color w:val="0000FF"/>
        <w:sz w:val="14"/>
        <w:szCs w:val="14"/>
        <w:u w:val="single"/>
        <w:lang w:val="it-IT"/>
      </w:rPr>
      <w:t>.kesh.al</w:t>
    </w:r>
    <w:r>
      <w:rPr>
        <w:rFonts w:ascii="Tahoma" w:hAnsi="Tahoma" w:cs="Tahoma"/>
        <w:color w:val="0000FF"/>
        <w:sz w:val="14"/>
        <w:szCs w:val="14"/>
        <w:u w:val="single"/>
        <w:lang w:val="it-IT"/>
      </w:rPr>
      <w:fldChar w:fldCharType="end"/>
    </w:r>
    <w:r w:rsidRPr="004F7265">
      <w:rPr>
        <w:rFonts w:ascii="Tahoma" w:hAnsi="Tahoma" w:cs="Tahoma"/>
        <w:color w:val="0000FF"/>
        <w:sz w:val="14"/>
        <w:szCs w:val="14"/>
        <w:lang w:val="it-IT"/>
      </w:rPr>
      <w:tab/>
    </w:r>
  </w:p>
  <w:p w14:paraId="762CCDE0" w14:textId="77777777" w:rsidR="00916DB0" w:rsidRPr="002B7B25" w:rsidRDefault="00916DB0" w:rsidP="002B7B25"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hAnsi="Times New Roman" w:cs="Times New Roman"/>
        <w:sz w:val="20"/>
        <w:szCs w:val="20"/>
      </w:rPr>
    </w:pPr>
  </w:p>
  <w:p w14:paraId="2FE2F440" w14:textId="77777777" w:rsidR="00916DB0" w:rsidRDefault="00916D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52FEA" w14:textId="798309BA" w:rsidR="00916DB0" w:rsidRPr="00EC05C1" w:rsidRDefault="00916DB0" w:rsidP="002B7B25">
    <w:pPr>
      <w:pBdr>
        <w:top w:val="single" w:sz="4" w:space="1" w:color="auto"/>
      </w:pBdr>
      <w:tabs>
        <w:tab w:val="right" w:pos="9630"/>
      </w:tabs>
      <w:jc w:val="both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  <w:lang w:val="it-IT"/>
      </w:rPr>
      <w:t xml:space="preserve">KESH sh.a.    |    </w:t>
    </w:r>
    <w:r w:rsidRPr="0002212A">
      <w:rPr>
        <w:rFonts w:ascii="Tahoma" w:hAnsi="Tahoma" w:cs="Tahoma"/>
        <w:sz w:val="14"/>
        <w:szCs w:val="14"/>
        <w:lang w:val="it-IT"/>
      </w:rPr>
      <w:t xml:space="preserve">Blloku “Vasil Shanto”, Tiranë,  |  Tel +355 4 2241981  |  Fax. </w:t>
    </w:r>
    <w:r w:rsidRPr="0002212A">
      <w:rPr>
        <w:rFonts w:ascii="Tahoma" w:hAnsi="Tahoma" w:cs="Tahoma"/>
        <w:sz w:val="14"/>
        <w:szCs w:val="14"/>
        <w:lang w:val="it-IT"/>
      </w:rPr>
      <w:t xml:space="preserve">+355 4 </w:t>
    </w:r>
    <w:r w:rsidRPr="0002212A">
      <w:rPr>
        <w:rFonts w:ascii="Tahoma" w:hAnsi="Tahoma" w:cs="Tahoma"/>
        <w:sz w:val="14"/>
        <w:szCs w:val="14"/>
        <w:lang w:val="it-IT"/>
      </w:rPr>
      <w:t xml:space="preserve">2232046  |  e-Mail: </w:t>
    </w:r>
    <w:r>
      <w:fldChar w:fldCharType="begin"/>
    </w:r>
    <w:r>
      <w:instrText xml:space="preserve"> HYPERLINK "mailto:mail@kesh.al" </w:instrText>
    </w:r>
    <w:r>
      <w:fldChar w:fldCharType="separate"/>
    </w:r>
    <w:r w:rsidRPr="0002212A">
      <w:rPr>
        <w:rStyle w:val="Hyperlink"/>
        <w:rFonts w:ascii="Tahoma" w:hAnsi="Tahoma" w:cs="Tahoma"/>
        <w:sz w:val="14"/>
        <w:szCs w:val="14"/>
        <w:lang w:val="it-IT"/>
      </w:rPr>
      <w:t>mail@kesh.al</w:t>
    </w:r>
    <w:r>
      <w:rPr>
        <w:rStyle w:val="Hyperlink"/>
        <w:rFonts w:ascii="Tahoma" w:hAnsi="Tahoma" w:cs="Tahoma"/>
        <w:sz w:val="14"/>
        <w:szCs w:val="14"/>
        <w:lang w:val="it-IT"/>
      </w:rPr>
      <w:fldChar w:fldCharType="end"/>
    </w:r>
    <w:r w:rsidRPr="0002212A">
      <w:rPr>
        <w:rFonts w:ascii="Tahoma" w:hAnsi="Tahoma" w:cs="Tahoma"/>
        <w:sz w:val="14"/>
        <w:szCs w:val="14"/>
        <w:lang w:val="it-IT"/>
      </w:rPr>
      <w:t xml:space="preserve">  | </w:t>
    </w:r>
    <w:r>
      <w:fldChar w:fldCharType="begin"/>
    </w:r>
    <w:r>
      <w:instrText xml:space="preserve"> HYPERLINK "http://www.kesh.al" </w:instrText>
    </w:r>
    <w:r>
      <w:fldChar w:fldCharType="separate"/>
    </w:r>
    <w:r>
      <w:rPr>
        <w:rStyle w:val="Hyperlink"/>
        <w:rFonts w:ascii="Tahoma" w:hAnsi="Tahoma" w:cs="Tahoma"/>
        <w:sz w:val="14"/>
        <w:szCs w:val="14"/>
        <w:lang w:val="it-IT"/>
      </w:rPr>
      <w:t>www</w:t>
    </w:r>
    <w:r w:rsidRPr="0013342C">
      <w:rPr>
        <w:rStyle w:val="Hyperlink"/>
        <w:rFonts w:ascii="Tahoma" w:hAnsi="Tahoma" w:cs="Tahoma"/>
        <w:sz w:val="14"/>
        <w:szCs w:val="14"/>
        <w:lang w:val="it-IT"/>
      </w:rPr>
      <w:t>.kesh.al</w:t>
    </w:r>
    <w:r>
      <w:rPr>
        <w:rStyle w:val="Hyperlink"/>
        <w:rFonts w:ascii="Tahoma" w:hAnsi="Tahoma" w:cs="Tahoma"/>
        <w:sz w:val="14"/>
        <w:szCs w:val="14"/>
        <w:lang w:val="it-IT"/>
      </w:rPr>
      <w:fldChar w:fldCharType="end"/>
    </w:r>
    <w:r w:rsidRPr="00455C1F">
      <w:rPr>
        <w:rStyle w:val="Hyperlink"/>
        <w:rFonts w:ascii="Tahoma" w:hAnsi="Tahoma" w:cs="Tahoma"/>
        <w:sz w:val="14"/>
        <w:szCs w:val="14"/>
        <w:u w:val="none"/>
        <w:lang w:val="it-IT"/>
      </w:rPr>
      <w:tab/>
    </w:r>
    <w:proofErr w:type="spellStart"/>
    <w:r>
      <w:rPr>
        <w:rFonts w:ascii="Tahoma" w:hAnsi="Tahoma" w:cs="Tahoma"/>
        <w:sz w:val="14"/>
        <w:szCs w:val="14"/>
      </w:rPr>
      <w:t>Fq</w:t>
    </w:r>
    <w:proofErr w:type="spellEnd"/>
    <w:r w:rsidRPr="0002212A">
      <w:rPr>
        <w:rFonts w:ascii="Tahoma" w:hAnsi="Tahoma" w:cs="Tahoma"/>
        <w:sz w:val="14"/>
        <w:szCs w:val="14"/>
      </w:rPr>
      <w:t xml:space="preserve">: </w:t>
    </w:r>
    <w:r w:rsidRPr="0002212A">
      <w:rPr>
        <w:rFonts w:ascii="Tahoma" w:hAnsi="Tahoma" w:cs="Tahoma"/>
        <w:bCs/>
        <w:sz w:val="14"/>
        <w:szCs w:val="14"/>
      </w:rPr>
      <w:fldChar w:fldCharType="begin"/>
    </w:r>
    <w:r w:rsidRPr="0002212A">
      <w:rPr>
        <w:rFonts w:ascii="Tahoma" w:hAnsi="Tahoma" w:cs="Tahoma"/>
        <w:bCs/>
        <w:sz w:val="14"/>
        <w:szCs w:val="14"/>
      </w:rPr>
      <w:instrText xml:space="preserve"> PAGE </w:instrText>
    </w:r>
    <w:r w:rsidRPr="0002212A">
      <w:rPr>
        <w:rFonts w:ascii="Tahoma" w:hAnsi="Tahoma" w:cs="Tahoma"/>
        <w:bCs/>
        <w:sz w:val="14"/>
        <w:szCs w:val="14"/>
      </w:rPr>
      <w:fldChar w:fldCharType="separate"/>
    </w:r>
    <w:r w:rsidRPr="0002212A">
      <w:rPr>
        <w:rFonts w:ascii="Tahoma" w:hAnsi="Tahoma" w:cs="Tahoma"/>
        <w:bCs/>
        <w:sz w:val="14"/>
        <w:szCs w:val="14"/>
      </w:rPr>
      <w:t>1</w:t>
    </w:r>
    <w:r w:rsidRPr="0002212A">
      <w:rPr>
        <w:rFonts w:ascii="Tahoma" w:hAnsi="Tahoma" w:cs="Tahoma"/>
        <w:bCs/>
        <w:sz w:val="14"/>
        <w:szCs w:val="14"/>
      </w:rPr>
      <w:fldChar w:fldCharType="end"/>
    </w:r>
    <w:r>
      <w:rPr>
        <w:rFonts w:ascii="Tahoma" w:hAnsi="Tahoma" w:cs="Tahoma"/>
        <w:sz w:val="14"/>
        <w:szCs w:val="14"/>
      </w:rPr>
      <w:t>/</w:t>
    </w:r>
    <w:r w:rsidRPr="0002212A">
      <w:rPr>
        <w:rFonts w:ascii="Tahoma" w:hAnsi="Tahoma" w:cs="Tahoma"/>
        <w:bCs/>
        <w:sz w:val="14"/>
        <w:szCs w:val="14"/>
      </w:rPr>
      <w:t>6</w:t>
    </w:r>
  </w:p>
  <w:p w14:paraId="46CBEBDD" w14:textId="77777777" w:rsidR="00916DB0" w:rsidRDefault="00916DB0" w:rsidP="002B7B25">
    <w:pPr>
      <w:pStyle w:val="Footer"/>
    </w:pPr>
  </w:p>
  <w:p w14:paraId="18245E8B" w14:textId="77777777" w:rsidR="00916DB0" w:rsidRDefault="00916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30CAD" w14:textId="77777777" w:rsidR="00916DB0" w:rsidRDefault="00916DB0">
      <w:pPr>
        <w:spacing w:after="0" w:line="240" w:lineRule="auto"/>
      </w:pPr>
      <w:r>
        <w:separator/>
      </w:r>
    </w:p>
  </w:footnote>
  <w:footnote w:type="continuationSeparator" w:id="0">
    <w:p w14:paraId="7FB403E7" w14:textId="77777777" w:rsidR="00916DB0" w:rsidRDefault="00916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960" w:type="pct"/>
      <w:tblLook w:val="0600" w:firstRow="0" w:lastRow="0" w:firstColumn="0" w:lastColumn="0" w:noHBand="1" w:noVBand="1"/>
    </w:tblPr>
    <w:tblGrid>
      <w:gridCol w:w="1887"/>
      <w:gridCol w:w="1578"/>
      <w:gridCol w:w="5493"/>
    </w:tblGrid>
    <w:tr w:rsidR="00916DB0" w14:paraId="357EAA63" w14:textId="77777777" w:rsidTr="00A2136F">
      <w:trPr>
        <w:trHeight w:val="1011"/>
      </w:trPr>
      <w:tc>
        <w:tcPr>
          <w:tcW w:w="1053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5DBF18E" w14:textId="77777777" w:rsidR="00916DB0" w:rsidRDefault="00916DB0" w:rsidP="002B7B25">
          <w:pPr>
            <w:pStyle w:val="Header"/>
          </w:pPr>
          <w:r>
            <w:ptab w:relativeTo="margin" w:alignment="center" w:leader="none"/>
          </w:r>
          <w:r>
            <w:rPr>
              <w:noProof/>
              <w:lang w:eastAsia="sq-AL"/>
            </w:rPr>
            <w:drawing>
              <wp:inline distT="0" distB="0" distL="0" distR="0" wp14:anchorId="48D6F34C" wp14:editId="7940995A">
                <wp:extent cx="972861" cy="419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esh Sloga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418" cy="441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" w:type="pct"/>
          <w:tcBorders>
            <w:top w:val="nil"/>
            <w:left w:val="nil"/>
            <w:bottom w:val="single" w:sz="4" w:space="0" w:color="179DAB"/>
            <w:right w:val="nil"/>
          </w:tcBorders>
        </w:tcPr>
        <w:p w14:paraId="51CE9D57" w14:textId="77777777" w:rsidR="00916DB0" w:rsidRDefault="00916DB0" w:rsidP="002B7B25">
          <w:pPr>
            <w:pStyle w:val="Header"/>
            <w:jc w:val="right"/>
          </w:pPr>
        </w:p>
      </w:tc>
      <w:tc>
        <w:tcPr>
          <w:tcW w:w="3066" w:type="pct"/>
          <w:tcBorders>
            <w:top w:val="nil"/>
            <w:left w:val="nil"/>
            <w:bottom w:val="single" w:sz="4" w:space="0" w:color="179DAB"/>
            <w:right w:val="nil"/>
          </w:tcBorders>
          <w:vAlign w:val="center"/>
        </w:tcPr>
        <w:p w14:paraId="7E76FAC1" w14:textId="77777777" w:rsidR="00916DB0" w:rsidRPr="00DF1932" w:rsidRDefault="00916DB0" w:rsidP="009338FB">
          <w:pPr>
            <w:pStyle w:val="Header"/>
            <w:spacing w:before="240" w:line="276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16"/>
              <w:szCs w:val="20"/>
            </w:rPr>
            <w:t>Grupi i Punës</w:t>
          </w:r>
        </w:p>
      </w:tc>
    </w:tr>
  </w:tbl>
  <w:p w14:paraId="575B5D92" w14:textId="77777777" w:rsidR="00916DB0" w:rsidRDefault="00916D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919" w:type="pct"/>
      <w:tblLook w:val="0600" w:firstRow="0" w:lastRow="0" w:firstColumn="0" w:lastColumn="0" w:noHBand="1" w:noVBand="1"/>
    </w:tblPr>
    <w:tblGrid>
      <w:gridCol w:w="1870"/>
      <w:gridCol w:w="1565"/>
      <w:gridCol w:w="5449"/>
    </w:tblGrid>
    <w:tr w:rsidR="00916DB0" w14:paraId="72834523" w14:textId="77777777" w:rsidTr="002B7B25">
      <w:trPr>
        <w:trHeight w:val="845"/>
      </w:trPr>
      <w:tc>
        <w:tcPr>
          <w:tcW w:w="1052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85EBB87" w14:textId="77777777" w:rsidR="00916DB0" w:rsidRDefault="00916DB0" w:rsidP="002B7B25">
          <w:pPr>
            <w:pStyle w:val="Header"/>
          </w:pPr>
          <w:r>
            <w:ptab w:relativeTo="margin" w:alignment="center" w:leader="none"/>
          </w:r>
          <w:r>
            <w:rPr>
              <w:noProof/>
              <w:lang w:eastAsia="sq-AL"/>
            </w:rPr>
            <w:drawing>
              <wp:inline distT="0" distB="0" distL="0" distR="0" wp14:anchorId="3E47FD5E" wp14:editId="6ACFD9BC">
                <wp:extent cx="972861" cy="4191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Kesh Sloga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418" cy="441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" w:type="pct"/>
          <w:tcBorders>
            <w:top w:val="nil"/>
            <w:left w:val="nil"/>
            <w:bottom w:val="single" w:sz="4" w:space="0" w:color="179DAB"/>
            <w:right w:val="nil"/>
          </w:tcBorders>
        </w:tcPr>
        <w:p w14:paraId="654D1DF5" w14:textId="77777777" w:rsidR="00916DB0" w:rsidRDefault="00916DB0" w:rsidP="002B7B25">
          <w:pPr>
            <w:pStyle w:val="Header"/>
            <w:jc w:val="right"/>
          </w:pPr>
        </w:p>
      </w:tc>
      <w:tc>
        <w:tcPr>
          <w:tcW w:w="3067" w:type="pct"/>
          <w:tcBorders>
            <w:top w:val="nil"/>
            <w:left w:val="nil"/>
            <w:bottom w:val="single" w:sz="4" w:space="0" w:color="179DAB"/>
            <w:right w:val="nil"/>
          </w:tcBorders>
          <w:vAlign w:val="center"/>
        </w:tcPr>
        <w:p w14:paraId="5A8319D7" w14:textId="77777777" w:rsidR="00916DB0" w:rsidRPr="00DF1932" w:rsidRDefault="00916DB0" w:rsidP="002B7B25">
          <w:pPr>
            <w:pStyle w:val="Header"/>
            <w:spacing w:before="240" w:line="276" w:lineRule="auto"/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16"/>
              <w:szCs w:val="20"/>
            </w:rPr>
            <w:t xml:space="preserve">                                                                       ADMINISTRATORI</w:t>
          </w:r>
        </w:p>
      </w:tc>
    </w:tr>
  </w:tbl>
  <w:p w14:paraId="31004F78" w14:textId="77777777" w:rsidR="00916DB0" w:rsidRDefault="00916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04F5"/>
    <w:multiLevelType w:val="hybridMultilevel"/>
    <w:tmpl w:val="CD6075BE"/>
    <w:lvl w:ilvl="0" w:tplc="0F4C43E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30DF"/>
    <w:multiLevelType w:val="hybridMultilevel"/>
    <w:tmpl w:val="82C07064"/>
    <w:lvl w:ilvl="0" w:tplc="AA22765E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62119"/>
    <w:multiLevelType w:val="hybridMultilevel"/>
    <w:tmpl w:val="F3EC4F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F2EFA"/>
    <w:multiLevelType w:val="hybridMultilevel"/>
    <w:tmpl w:val="E1841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77756"/>
    <w:multiLevelType w:val="hybridMultilevel"/>
    <w:tmpl w:val="84E49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340533"/>
    <w:multiLevelType w:val="hybridMultilevel"/>
    <w:tmpl w:val="E460DA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A76F7"/>
    <w:multiLevelType w:val="hybridMultilevel"/>
    <w:tmpl w:val="82CE926E"/>
    <w:lvl w:ilvl="0" w:tplc="20FCD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0046D"/>
    <w:multiLevelType w:val="multilevel"/>
    <w:tmpl w:val="3FA4016A"/>
    <w:lvl w:ilvl="0">
      <w:start w:val="1"/>
      <w:numFmt w:val="decimal"/>
      <w:pStyle w:val="Heading1"/>
      <w:lvlText w:val="%1."/>
      <w:lvlJc w:val="left"/>
      <w:pPr>
        <w:ind w:left="1080" w:hanging="720"/>
      </w:pPr>
      <w:rPr>
        <w:rFonts w:ascii="Times New Roman" w:eastAsia="MS Mincho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2F12BEE"/>
    <w:multiLevelType w:val="hybridMultilevel"/>
    <w:tmpl w:val="EF1A633C"/>
    <w:lvl w:ilvl="0" w:tplc="D81680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26F62"/>
    <w:multiLevelType w:val="hybridMultilevel"/>
    <w:tmpl w:val="84E49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8E06B0"/>
    <w:multiLevelType w:val="hybridMultilevel"/>
    <w:tmpl w:val="C5583406"/>
    <w:lvl w:ilvl="0" w:tplc="8F74DF0E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9791437"/>
    <w:multiLevelType w:val="hybridMultilevel"/>
    <w:tmpl w:val="84E49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E25AA7"/>
    <w:multiLevelType w:val="hybridMultilevel"/>
    <w:tmpl w:val="EE1C50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873584"/>
    <w:multiLevelType w:val="hybridMultilevel"/>
    <w:tmpl w:val="E1FAE030"/>
    <w:lvl w:ilvl="0" w:tplc="DC0A051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70C8C"/>
    <w:multiLevelType w:val="hybridMultilevel"/>
    <w:tmpl w:val="0526FEDA"/>
    <w:lvl w:ilvl="0" w:tplc="0936B1F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F2E5A"/>
    <w:multiLevelType w:val="hybridMultilevel"/>
    <w:tmpl w:val="84E49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2010F0"/>
    <w:multiLevelType w:val="hybridMultilevel"/>
    <w:tmpl w:val="FC4C7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95618"/>
    <w:multiLevelType w:val="hybridMultilevel"/>
    <w:tmpl w:val="7870C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52D60"/>
    <w:multiLevelType w:val="hybridMultilevel"/>
    <w:tmpl w:val="BCB60E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B3F1A"/>
    <w:multiLevelType w:val="hybridMultilevel"/>
    <w:tmpl w:val="1B16A0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10"/>
  </w:num>
  <w:num w:numId="6">
    <w:abstractNumId w:val="15"/>
  </w:num>
  <w:num w:numId="7">
    <w:abstractNumId w:val="11"/>
  </w:num>
  <w:num w:numId="8">
    <w:abstractNumId w:val="13"/>
  </w:num>
  <w:num w:numId="9">
    <w:abstractNumId w:val="19"/>
  </w:num>
  <w:num w:numId="10">
    <w:abstractNumId w:val="18"/>
  </w:num>
  <w:num w:numId="11">
    <w:abstractNumId w:val="5"/>
  </w:num>
  <w:num w:numId="12">
    <w:abstractNumId w:val="1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8"/>
  </w:num>
  <w:num w:numId="17">
    <w:abstractNumId w:val="16"/>
  </w:num>
  <w:num w:numId="18">
    <w:abstractNumId w:val="2"/>
  </w:num>
  <w:num w:numId="19">
    <w:abstractNumId w:val="3"/>
  </w:num>
  <w:num w:numId="20">
    <w:abstractNumId w:val="14"/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D6"/>
    <w:rsid w:val="00004637"/>
    <w:rsid w:val="00014349"/>
    <w:rsid w:val="0002212A"/>
    <w:rsid w:val="00032144"/>
    <w:rsid w:val="00032DBF"/>
    <w:rsid w:val="000331B3"/>
    <w:rsid w:val="0003386B"/>
    <w:rsid w:val="00043626"/>
    <w:rsid w:val="00050E36"/>
    <w:rsid w:val="00061437"/>
    <w:rsid w:val="00062B36"/>
    <w:rsid w:val="00066522"/>
    <w:rsid w:val="00067872"/>
    <w:rsid w:val="000708C7"/>
    <w:rsid w:val="00072E8B"/>
    <w:rsid w:val="000732C5"/>
    <w:rsid w:val="00074027"/>
    <w:rsid w:val="00081F89"/>
    <w:rsid w:val="00083938"/>
    <w:rsid w:val="00085134"/>
    <w:rsid w:val="00086F10"/>
    <w:rsid w:val="0008717D"/>
    <w:rsid w:val="000A18B0"/>
    <w:rsid w:val="000A1AD3"/>
    <w:rsid w:val="000A5785"/>
    <w:rsid w:val="000B3768"/>
    <w:rsid w:val="000B3803"/>
    <w:rsid w:val="000B558F"/>
    <w:rsid w:val="000B75A8"/>
    <w:rsid w:val="000B7BE0"/>
    <w:rsid w:val="000E582B"/>
    <w:rsid w:val="00115C5A"/>
    <w:rsid w:val="0012460F"/>
    <w:rsid w:val="00131430"/>
    <w:rsid w:val="0013342C"/>
    <w:rsid w:val="00137293"/>
    <w:rsid w:val="00142178"/>
    <w:rsid w:val="00151EA0"/>
    <w:rsid w:val="00161725"/>
    <w:rsid w:val="0016485E"/>
    <w:rsid w:val="00170AD6"/>
    <w:rsid w:val="00184A44"/>
    <w:rsid w:val="00187799"/>
    <w:rsid w:val="001952DD"/>
    <w:rsid w:val="00196A1F"/>
    <w:rsid w:val="00197DB8"/>
    <w:rsid w:val="001A1936"/>
    <w:rsid w:val="001C1709"/>
    <w:rsid w:val="001C70CA"/>
    <w:rsid w:val="001D5A18"/>
    <w:rsid w:val="001E31BD"/>
    <w:rsid w:val="001F1F60"/>
    <w:rsid w:val="001F4937"/>
    <w:rsid w:val="001F7005"/>
    <w:rsid w:val="00213CBB"/>
    <w:rsid w:val="002222EE"/>
    <w:rsid w:val="002327BC"/>
    <w:rsid w:val="00234868"/>
    <w:rsid w:val="0023761E"/>
    <w:rsid w:val="00250F81"/>
    <w:rsid w:val="00254F55"/>
    <w:rsid w:val="00272D69"/>
    <w:rsid w:val="002929AF"/>
    <w:rsid w:val="00293519"/>
    <w:rsid w:val="00295DD6"/>
    <w:rsid w:val="002A0203"/>
    <w:rsid w:val="002A3AB1"/>
    <w:rsid w:val="002B4E80"/>
    <w:rsid w:val="002B7B25"/>
    <w:rsid w:val="002C4F89"/>
    <w:rsid w:val="002D0C19"/>
    <w:rsid w:val="002D34F7"/>
    <w:rsid w:val="002D603C"/>
    <w:rsid w:val="002E0B53"/>
    <w:rsid w:val="002F5117"/>
    <w:rsid w:val="003133E9"/>
    <w:rsid w:val="00314D33"/>
    <w:rsid w:val="0032006A"/>
    <w:rsid w:val="00320498"/>
    <w:rsid w:val="00327024"/>
    <w:rsid w:val="00334574"/>
    <w:rsid w:val="003418E1"/>
    <w:rsid w:val="0034659C"/>
    <w:rsid w:val="00350AB3"/>
    <w:rsid w:val="0035175A"/>
    <w:rsid w:val="00351892"/>
    <w:rsid w:val="00357C7B"/>
    <w:rsid w:val="0036277D"/>
    <w:rsid w:val="00363B45"/>
    <w:rsid w:val="0037478F"/>
    <w:rsid w:val="00375F4B"/>
    <w:rsid w:val="0038093A"/>
    <w:rsid w:val="00384DC7"/>
    <w:rsid w:val="0039394C"/>
    <w:rsid w:val="003A4597"/>
    <w:rsid w:val="003A50D6"/>
    <w:rsid w:val="003B107B"/>
    <w:rsid w:val="003B2692"/>
    <w:rsid w:val="003C14E2"/>
    <w:rsid w:val="003C2FF1"/>
    <w:rsid w:val="003D670E"/>
    <w:rsid w:val="003E455C"/>
    <w:rsid w:val="003E7F1E"/>
    <w:rsid w:val="003F0CF9"/>
    <w:rsid w:val="003F5DD6"/>
    <w:rsid w:val="004015CD"/>
    <w:rsid w:val="00403736"/>
    <w:rsid w:val="004137BD"/>
    <w:rsid w:val="004178B4"/>
    <w:rsid w:val="00431657"/>
    <w:rsid w:val="004447CB"/>
    <w:rsid w:val="00445C4F"/>
    <w:rsid w:val="00451A58"/>
    <w:rsid w:val="00453C9E"/>
    <w:rsid w:val="00454C9D"/>
    <w:rsid w:val="00455C1F"/>
    <w:rsid w:val="004629B4"/>
    <w:rsid w:val="00463C79"/>
    <w:rsid w:val="0047294D"/>
    <w:rsid w:val="00472ECF"/>
    <w:rsid w:val="00475C15"/>
    <w:rsid w:val="004760DC"/>
    <w:rsid w:val="004829F7"/>
    <w:rsid w:val="0048715C"/>
    <w:rsid w:val="004911D2"/>
    <w:rsid w:val="00492214"/>
    <w:rsid w:val="004964F5"/>
    <w:rsid w:val="00496D63"/>
    <w:rsid w:val="004A08F3"/>
    <w:rsid w:val="004A3A18"/>
    <w:rsid w:val="004B0A11"/>
    <w:rsid w:val="004B5989"/>
    <w:rsid w:val="004C1910"/>
    <w:rsid w:val="004E7DCD"/>
    <w:rsid w:val="004F488D"/>
    <w:rsid w:val="004F7265"/>
    <w:rsid w:val="00501AD7"/>
    <w:rsid w:val="00513768"/>
    <w:rsid w:val="005150C2"/>
    <w:rsid w:val="0052001B"/>
    <w:rsid w:val="005303C6"/>
    <w:rsid w:val="00531E65"/>
    <w:rsid w:val="00532819"/>
    <w:rsid w:val="005435CC"/>
    <w:rsid w:val="00546BAF"/>
    <w:rsid w:val="00551748"/>
    <w:rsid w:val="00552CD7"/>
    <w:rsid w:val="0055453C"/>
    <w:rsid w:val="0056008C"/>
    <w:rsid w:val="00560E32"/>
    <w:rsid w:val="005628B8"/>
    <w:rsid w:val="00563265"/>
    <w:rsid w:val="00566121"/>
    <w:rsid w:val="0056733D"/>
    <w:rsid w:val="00567362"/>
    <w:rsid w:val="0057487A"/>
    <w:rsid w:val="005839C6"/>
    <w:rsid w:val="0058531F"/>
    <w:rsid w:val="0059210F"/>
    <w:rsid w:val="00597221"/>
    <w:rsid w:val="005B27C4"/>
    <w:rsid w:val="005B734C"/>
    <w:rsid w:val="005C03DD"/>
    <w:rsid w:val="005C05EB"/>
    <w:rsid w:val="005C1D83"/>
    <w:rsid w:val="005D03CE"/>
    <w:rsid w:val="005D4B32"/>
    <w:rsid w:val="005D4F6D"/>
    <w:rsid w:val="005D5828"/>
    <w:rsid w:val="005E1629"/>
    <w:rsid w:val="005E4114"/>
    <w:rsid w:val="005F3279"/>
    <w:rsid w:val="005F4767"/>
    <w:rsid w:val="005F4EF0"/>
    <w:rsid w:val="005F6AD6"/>
    <w:rsid w:val="00602CB3"/>
    <w:rsid w:val="00603E79"/>
    <w:rsid w:val="00606F42"/>
    <w:rsid w:val="00610798"/>
    <w:rsid w:val="00614E2F"/>
    <w:rsid w:val="00624211"/>
    <w:rsid w:val="00626ABF"/>
    <w:rsid w:val="00643964"/>
    <w:rsid w:val="0064734D"/>
    <w:rsid w:val="0065411D"/>
    <w:rsid w:val="00667EB3"/>
    <w:rsid w:val="006728A4"/>
    <w:rsid w:val="0067538E"/>
    <w:rsid w:val="00681A14"/>
    <w:rsid w:val="006B43A1"/>
    <w:rsid w:val="006C7933"/>
    <w:rsid w:val="006D3343"/>
    <w:rsid w:val="006E2C06"/>
    <w:rsid w:val="006F5670"/>
    <w:rsid w:val="0070291C"/>
    <w:rsid w:val="0072367A"/>
    <w:rsid w:val="00724363"/>
    <w:rsid w:val="00725A2A"/>
    <w:rsid w:val="00734DCD"/>
    <w:rsid w:val="00737DE4"/>
    <w:rsid w:val="00740281"/>
    <w:rsid w:val="00750813"/>
    <w:rsid w:val="00751290"/>
    <w:rsid w:val="0075155E"/>
    <w:rsid w:val="007572E2"/>
    <w:rsid w:val="00760D45"/>
    <w:rsid w:val="00774DAD"/>
    <w:rsid w:val="00782367"/>
    <w:rsid w:val="007839F7"/>
    <w:rsid w:val="0078654E"/>
    <w:rsid w:val="00791C2C"/>
    <w:rsid w:val="00793327"/>
    <w:rsid w:val="007A2E68"/>
    <w:rsid w:val="007A307E"/>
    <w:rsid w:val="007A3955"/>
    <w:rsid w:val="007A6D26"/>
    <w:rsid w:val="007B5CDC"/>
    <w:rsid w:val="007B7A0B"/>
    <w:rsid w:val="007C0481"/>
    <w:rsid w:val="007C3BD1"/>
    <w:rsid w:val="007C4091"/>
    <w:rsid w:val="007C4980"/>
    <w:rsid w:val="007C7CE2"/>
    <w:rsid w:val="007E1006"/>
    <w:rsid w:val="007E70BD"/>
    <w:rsid w:val="007F4AA7"/>
    <w:rsid w:val="007F552C"/>
    <w:rsid w:val="0080269E"/>
    <w:rsid w:val="0080607D"/>
    <w:rsid w:val="00807BB6"/>
    <w:rsid w:val="00811BC9"/>
    <w:rsid w:val="00813948"/>
    <w:rsid w:val="008156AA"/>
    <w:rsid w:val="00815749"/>
    <w:rsid w:val="0082223C"/>
    <w:rsid w:val="008238A3"/>
    <w:rsid w:val="008340E5"/>
    <w:rsid w:val="0083721A"/>
    <w:rsid w:val="008435FB"/>
    <w:rsid w:val="0084625A"/>
    <w:rsid w:val="00846632"/>
    <w:rsid w:val="008472BE"/>
    <w:rsid w:val="008476FE"/>
    <w:rsid w:val="008613D0"/>
    <w:rsid w:val="008714E7"/>
    <w:rsid w:val="00872262"/>
    <w:rsid w:val="00874898"/>
    <w:rsid w:val="00874B31"/>
    <w:rsid w:val="00877A14"/>
    <w:rsid w:val="00880189"/>
    <w:rsid w:val="00883BCC"/>
    <w:rsid w:val="0088502A"/>
    <w:rsid w:val="008861B9"/>
    <w:rsid w:val="00887E6E"/>
    <w:rsid w:val="00893FE2"/>
    <w:rsid w:val="008957D4"/>
    <w:rsid w:val="00895C9C"/>
    <w:rsid w:val="008A0526"/>
    <w:rsid w:val="008B775F"/>
    <w:rsid w:val="008C02F8"/>
    <w:rsid w:val="008C06FA"/>
    <w:rsid w:val="008D4900"/>
    <w:rsid w:val="008E5F06"/>
    <w:rsid w:val="008E657F"/>
    <w:rsid w:val="008E6772"/>
    <w:rsid w:val="008E6779"/>
    <w:rsid w:val="008E6A2E"/>
    <w:rsid w:val="008F0B04"/>
    <w:rsid w:val="008F4758"/>
    <w:rsid w:val="008F5FC4"/>
    <w:rsid w:val="008F646D"/>
    <w:rsid w:val="00903C1D"/>
    <w:rsid w:val="00916DB0"/>
    <w:rsid w:val="00930E91"/>
    <w:rsid w:val="009338FB"/>
    <w:rsid w:val="00941782"/>
    <w:rsid w:val="0094399E"/>
    <w:rsid w:val="00945B13"/>
    <w:rsid w:val="00956353"/>
    <w:rsid w:val="00961495"/>
    <w:rsid w:val="00961EF0"/>
    <w:rsid w:val="00963C4F"/>
    <w:rsid w:val="00964EE8"/>
    <w:rsid w:val="00965762"/>
    <w:rsid w:val="0096757F"/>
    <w:rsid w:val="009750B1"/>
    <w:rsid w:val="009750C5"/>
    <w:rsid w:val="009773A7"/>
    <w:rsid w:val="0098301F"/>
    <w:rsid w:val="009843B7"/>
    <w:rsid w:val="00987C6A"/>
    <w:rsid w:val="00993921"/>
    <w:rsid w:val="009950E6"/>
    <w:rsid w:val="009A192C"/>
    <w:rsid w:val="009A3152"/>
    <w:rsid w:val="009D2249"/>
    <w:rsid w:val="009D6AEF"/>
    <w:rsid w:val="009E5976"/>
    <w:rsid w:val="009E7B59"/>
    <w:rsid w:val="009F7398"/>
    <w:rsid w:val="00A03E2B"/>
    <w:rsid w:val="00A0419B"/>
    <w:rsid w:val="00A0451B"/>
    <w:rsid w:val="00A1759F"/>
    <w:rsid w:val="00A2136F"/>
    <w:rsid w:val="00A3467D"/>
    <w:rsid w:val="00A40101"/>
    <w:rsid w:val="00A415B0"/>
    <w:rsid w:val="00A53328"/>
    <w:rsid w:val="00A54203"/>
    <w:rsid w:val="00A5469E"/>
    <w:rsid w:val="00A635CE"/>
    <w:rsid w:val="00A671F8"/>
    <w:rsid w:val="00A81AF2"/>
    <w:rsid w:val="00A850C8"/>
    <w:rsid w:val="00A910C0"/>
    <w:rsid w:val="00A95100"/>
    <w:rsid w:val="00A959EC"/>
    <w:rsid w:val="00AA2233"/>
    <w:rsid w:val="00AB0003"/>
    <w:rsid w:val="00AB484E"/>
    <w:rsid w:val="00AB596E"/>
    <w:rsid w:val="00AC4196"/>
    <w:rsid w:val="00AC74CB"/>
    <w:rsid w:val="00AD6D95"/>
    <w:rsid w:val="00AF111B"/>
    <w:rsid w:val="00AF4A0F"/>
    <w:rsid w:val="00B06B03"/>
    <w:rsid w:val="00B07E8C"/>
    <w:rsid w:val="00B1072A"/>
    <w:rsid w:val="00B11879"/>
    <w:rsid w:val="00B15C62"/>
    <w:rsid w:val="00B24289"/>
    <w:rsid w:val="00B2643A"/>
    <w:rsid w:val="00B4528C"/>
    <w:rsid w:val="00B47231"/>
    <w:rsid w:val="00B55FF1"/>
    <w:rsid w:val="00B5772F"/>
    <w:rsid w:val="00B624CF"/>
    <w:rsid w:val="00B656AF"/>
    <w:rsid w:val="00B670E7"/>
    <w:rsid w:val="00B67F1F"/>
    <w:rsid w:val="00B8056C"/>
    <w:rsid w:val="00B807DA"/>
    <w:rsid w:val="00B9415C"/>
    <w:rsid w:val="00BA1D5D"/>
    <w:rsid w:val="00BA4745"/>
    <w:rsid w:val="00BB4334"/>
    <w:rsid w:val="00BC0808"/>
    <w:rsid w:val="00BC5F93"/>
    <w:rsid w:val="00BE4765"/>
    <w:rsid w:val="00C006EC"/>
    <w:rsid w:val="00C067E3"/>
    <w:rsid w:val="00C07909"/>
    <w:rsid w:val="00C10657"/>
    <w:rsid w:val="00C12194"/>
    <w:rsid w:val="00C16C69"/>
    <w:rsid w:val="00C21ABB"/>
    <w:rsid w:val="00C21EF3"/>
    <w:rsid w:val="00C2224F"/>
    <w:rsid w:val="00C308B5"/>
    <w:rsid w:val="00C54BC0"/>
    <w:rsid w:val="00C60463"/>
    <w:rsid w:val="00C663E4"/>
    <w:rsid w:val="00C66DA8"/>
    <w:rsid w:val="00C75A73"/>
    <w:rsid w:val="00C7793D"/>
    <w:rsid w:val="00C80FC1"/>
    <w:rsid w:val="00C810EB"/>
    <w:rsid w:val="00CA4D8E"/>
    <w:rsid w:val="00CB3111"/>
    <w:rsid w:val="00CC133C"/>
    <w:rsid w:val="00CC2159"/>
    <w:rsid w:val="00CC670D"/>
    <w:rsid w:val="00CD0956"/>
    <w:rsid w:val="00CD15AF"/>
    <w:rsid w:val="00CD4ADF"/>
    <w:rsid w:val="00CD5FF5"/>
    <w:rsid w:val="00D144E1"/>
    <w:rsid w:val="00D14A65"/>
    <w:rsid w:val="00D169F0"/>
    <w:rsid w:val="00D17D77"/>
    <w:rsid w:val="00D21AA8"/>
    <w:rsid w:val="00D2496D"/>
    <w:rsid w:val="00D26467"/>
    <w:rsid w:val="00D40F5D"/>
    <w:rsid w:val="00D4221A"/>
    <w:rsid w:val="00D45AF7"/>
    <w:rsid w:val="00D56808"/>
    <w:rsid w:val="00D6105D"/>
    <w:rsid w:val="00D64EE7"/>
    <w:rsid w:val="00D66E55"/>
    <w:rsid w:val="00D96089"/>
    <w:rsid w:val="00DA49E9"/>
    <w:rsid w:val="00DA641F"/>
    <w:rsid w:val="00DB066A"/>
    <w:rsid w:val="00DB298A"/>
    <w:rsid w:val="00DC616C"/>
    <w:rsid w:val="00DD09EE"/>
    <w:rsid w:val="00DD1C00"/>
    <w:rsid w:val="00DD75B0"/>
    <w:rsid w:val="00DE149C"/>
    <w:rsid w:val="00DE37C2"/>
    <w:rsid w:val="00DE4391"/>
    <w:rsid w:val="00DE52BB"/>
    <w:rsid w:val="00DF1932"/>
    <w:rsid w:val="00DF309F"/>
    <w:rsid w:val="00DF4518"/>
    <w:rsid w:val="00DF5830"/>
    <w:rsid w:val="00DF59C9"/>
    <w:rsid w:val="00DF61EC"/>
    <w:rsid w:val="00E01324"/>
    <w:rsid w:val="00E0239F"/>
    <w:rsid w:val="00E039B4"/>
    <w:rsid w:val="00E12883"/>
    <w:rsid w:val="00E1367A"/>
    <w:rsid w:val="00E25D96"/>
    <w:rsid w:val="00E27565"/>
    <w:rsid w:val="00E35FAC"/>
    <w:rsid w:val="00E63F24"/>
    <w:rsid w:val="00E656CE"/>
    <w:rsid w:val="00E7065C"/>
    <w:rsid w:val="00E77ABB"/>
    <w:rsid w:val="00E81659"/>
    <w:rsid w:val="00E81662"/>
    <w:rsid w:val="00E83291"/>
    <w:rsid w:val="00E905BC"/>
    <w:rsid w:val="00E944E3"/>
    <w:rsid w:val="00EA5559"/>
    <w:rsid w:val="00EA5B28"/>
    <w:rsid w:val="00EA630A"/>
    <w:rsid w:val="00EA6A63"/>
    <w:rsid w:val="00EB100F"/>
    <w:rsid w:val="00EB5DF4"/>
    <w:rsid w:val="00EB7B71"/>
    <w:rsid w:val="00EC05C1"/>
    <w:rsid w:val="00EC5CFD"/>
    <w:rsid w:val="00ED4C09"/>
    <w:rsid w:val="00ED4DBE"/>
    <w:rsid w:val="00ED5262"/>
    <w:rsid w:val="00ED5CD4"/>
    <w:rsid w:val="00EE31E8"/>
    <w:rsid w:val="00EE44A4"/>
    <w:rsid w:val="00EF2D9F"/>
    <w:rsid w:val="00F006BF"/>
    <w:rsid w:val="00F04F39"/>
    <w:rsid w:val="00F05A52"/>
    <w:rsid w:val="00F06113"/>
    <w:rsid w:val="00F127D4"/>
    <w:rsid w:val="00F218B3"/>
    <w:rsid w:val="00F21A88"/>
    <w:rsid w:val="00F240BF"/>
    <w:rsid w:val="00F43A4C"/>
    <w:rsid w:val="00F509A4"/>
    <w:rsid w:val="00F53C23"/>
    <w:rsid w:val="00F622C3"/>
    <w:rsid w:val="00F62DAC"/>
    <w:rsid w:val="00F64893"/>
    <w:rsid w:val="00F767FE"/>
    <w:rsid w:val="00F771E5"/>
    <w:rsid w:val="00F9679C"/>
    <w:rsid w:val="00F97660"/>
    <w:rsid w:val="00FA6B38"/>
    <w:rsid w:val="00FC0DCC"/>
    <w:rsid w:val="00FC2F62"/>
    <w:rsid w:val="00FC3FA9"/>
    <w:rsid w:val="00FC54C3"/>
    <w:rsid w:val="00FC794F"/>
    <w:rsid w:val="00FD5814"/>
    <w:rsid w:val="00FD5D26"/>
    <w:rsid w:val="00FE01C7"/>
    <w:rsid w:val="00FF2E96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ABBD76D"/>
  <w15:chartTrackingRefBased/>
  <w15:docId w15:val="{8FFDB723-A770-4426-B8E1-236B0F97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001B"/>
    <w:rPr>
      <w:rFonts w:eastAsia="Times New Roman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56008C"/>
    <w:pPr>
      <w:keepNext/>
      <w:numPr>
        <w:numId w:val="1"/>
      </w:numPr>
      <w:spacing w:before="300" w:after="120" w:line="264" w:lineRule="auto"/>
      <w:jc w:val="both"/>
      <w:outlineLvl w:val="0"/>
    </w:pPr>
    <w:rPr>
      <w:rFonts w:ascii="Times New Roman" w:eastAsiaTheme="majorEastAsia" w:hAnsi="Times New Roman" w:cstheme="majorBidi"/>
      <w:b/>
      <w:bCs/>
      <w:smallCaps/>
      <w:color w:val="000000" w:themeColor="text1"/>
      <w:sz w:val="24"/>
      <w:szCs w:val="36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7F4AA7"/>
    <w:pPr>
      <w:keepNext/>
      <w:numPr>
        <w:ilvl w:val="1"/>
        <w:numId w:val="1"/>
      </w:numPr>
      <w:spacing w:before="300" w:after="120" w:line="264" w:lineRule="auto"/>
      <w:jc w:val="both"/>
      <w:outlineLvl w:val="1"/>
    </w:pPr>
    <w:rPr>
      <w:rFonts w:ascii="Times New Roman" w:eastAsia="Calibri" w:hAnsi="Times New Roman" w:cs="Times New Roman"/>
      <w:b/>
      <w:color w:val="000000" w:themeColor="text1"/>
      <w:spacing w:val="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A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008C"/>
    <w:rPr>
      <w:rFonts w:ascii="Times New Roman" w:eastAsiaTheme="majorEastAsia" w:hAnsi="Times New Roman" w:cstheme="majorBidi"/>
      <w:b/>
      <w:bCs/>
      <w:smallCaps/>
      <w:color w:val="000000" w:themeColor="text1"/>
      <w:sz w:val="24"/>
      <w:szCs w:val="36"/>
    </w:rPr>
  </w:style>
  <w:style w:type="character" w:customStyle="1" w:styleId="Heading2Char">
    <w:name w:val="Heading 2 Char"/>
    <w:basedOn w:val="DefaultParagraphFont"/>
    <w:link w:val="Heading2"/>
    <w:rsid w:val="007F4AA7"/>
    <w:rPr>
      <w:rFonts w:ascii="Times New Roman" w:eastAsia="Calibri" w:hAnsi="Times New Roman" w:cs="Times New Roman"/>
      <w:b/>
      <w:color w:val="000000" w:themeColor="text1"/>
      <w:spacing w:val="2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qFormat/>
    <w:rsid w:val="007839F7"/>
    <w:pPr>
      <w:spacing w:after="120" w:line="264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7839F7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paragraph" w:styleId="Header">
    <w:name w:val="header"/>
    <w:basedOn w:val="Normal"/>
    <w:link w:val="HeaderChar"/>
    <w:uiPriority w:val="99"/>
    <w:unhideWhenUsed/>
    <w:rsid w:val="00170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AD6"/>
  </w:style>
  <w:style w:type="paragraph" w:styleId="Footer">
    <w:name w:val="footer"/>
    <w:basedOn w:val="Normal"/>
    <w:link w:val="FooterChar"/>
    <w:uiPriority w:val="99"/>
    <w:unhideWhenUsed/>
    <w:rsid w:val="00170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AD6"/>
  </w:style>
  <w:style w:type="table" w:styleId="TableGrid">
    <w:name w:val="Table Grid"/>
    <w:basedOn w:val="TableNormal"/>
    <w:uiPriority w:val="39"/>
    <w:rsid w:val="0017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6F1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A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D14A65"/>
    <w:pPr>
      <w:spacing w:after="12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14A65"/>
    <w:rPr>
      <w:rFonts w:ascii="Cambria" w:eastAsia="MS Mincho" w:hAnsi="Cambria" w:cs="Times New Roman"/>
      <w:sz w:val="24"/>
      <w:szCs w:val="24"/>
      <w:lang w:val="en-US"/>
    </w:rPr>
  </w:style>
  <w:style w:type="paragraph" w:styleId="ListParagraph">
    <w:name w:val="List Paragraph"/>
    <w:aliases w:val="Paragraph,Heading Bullet,Paragrafo elencoS,Indent Paragraph,Numbered Para 1,Dot pt,No Spacing1,List Paragraph Char Char Char,Indicator Text,Bullet Points,MAIN CONTENT,List Paragraph12,F5 List Paragraph,Heading 2_sj,lp1,Bullets,Bullet1"/>
    <w:basedOn w:val="Normal"/>
    <w:link w:val="ListParagraphChar"/>
    <w:uiPriority w:val="34"/>
    <w:qFormat/>
    <w:rsid w:val="00D14A65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n-US"/>
    </w:rPr>
  </w:style>
  <w:style w:type="character" w:styleId="Hyperlink">
    <w:name w:val="Hyperlink"/>
    <w:uiPriority w:val="99"/>
    <w:rsid w:val="005839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520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01B"/>
    <w:rPr>
      <w:rFonts w:eastAsia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01B"/>
    <w:rPr>
      <w:rFonts w:eastAsia="Times New Roman" w:cs="Arial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320498"/>
    <w:pPr>
      <w:tabs>
        <w:tab w:val="left" w:pos="426"/>
        <w:tab w:val="right" w:leader="dot" w:pos="9403"/>
      </w:tabs>
      <w:spacing w:before="360" w:after="120" w:line="240" w:lineRule="auto"/>
      <w:ind w:left="426" w:hanging="426"/>
    </w:pPr>
    <w:rPr>
      <w:rFonts w:ascii="Tahoma" w:hAnsi="Tahoma" w:cs="Tahoma"/>
      <w:b/>
      <w:bCs/>
      <w:smallCaps/>
      <w:noProof/>
      <w:sz w:val="24"/>
      <w:szCs w:val="24"/>
      <w:lang w:val="en-GB"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320498"/>
    <w:pPr>
      <w:tabs>
        <w:tab w:val="left" w:pos="993"/>
        <w:tab w:val="right" w:leader="dot" w:pos="9403"/>
      </w:tabs>
      <w:spacing w:before="80" w:after="80" w:line="240" w:lineRule="auto"/>
      <w:ind w:left="426"/>
    </w:pPr>
    <w:rPr>
      <w:rFonts w:ascii="Tahoma" w:hAnsi="Tahoma" w:cs="Tahoma"/>
      <w:smallCaps/>
      <w:noProof/>
      <w:sz w:val="24"/>
      <w:szCs w:val="24"/>
      <w:lang w:val="en-GB" w:eastAsia="en-GB"/>
    </w:rPr>
  </w:style>
  <w:style w:type="character" w:customStyle="1" w:styleId="ListParagraphChar">
    <w:name w:val="List Paragraph Char"/>
    <w:aliases w:val="Paragraph Char,Heading Bullet Char,Paragrafo elencoS Char,Indent Paragraph Char,Numbered Para 1 Char,Dot pt Char,No Spacing1 Char,List Paragraph Char Char Char Char,Indicator Text Char,Bullet Points Char,MAIN CONTENT Char,lp1 Char"/>
    <w:link w:val="ListParagraph"/>
    <w:uiPriority w:val="34"/>
    <w:qFormat/>
    <w:locked/>
    <w:rsid w:val="003A50D6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Default">
    <w:name w:val="Default"/>
    <w:rsid w:val="007F4A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8531F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893FE2"/>
    <w:pPr>
      <w:spacing w:after="0" w:line="240" w:lineRule="auto"/>
    </w:pPr>
    <w:rPr>
      <w:rFonts w:ascii="Calibri" w:eastAsiaTheme="minorHAnsi" w:hAnsi="Calibri" w:cs="Calibri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38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502A"/>
    <w:pPr>
      <w:spacing w:after="0" w:line="240" w:lineRule="auto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9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B6EFA-608A-4A39-B69C-C6CFFE5A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9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Velo</dc:creator>
  <cp:keywords/>
  <dc:description/>
  <cp:lastModifiedBy>Eleida Zvirina</cp:lastModifiedBy>
  <cp:revision>33</cp:revision>
  <cp:lastPrinted>2025-08-26T11:03:00Z</cp:lastPrinted>
  <dcterms:created xsi:type="dcterms:W3CDTF">2024-08-05T15:39:00Z</dcterms:created>
  <dcterms:modified xsi:type="dcterms:W3CDTF">2025-08-26T12:38:00Z</dcterms:modified>
</cp:coreProperties>
</file>