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5A24F" w14:textId="21722049" w:rsidR="000C0152" w:rsidRPr="00B043FC" w:rsidRDefault="001749C7" w:rsidP="00B043FC">
      <w:pPr>
        <w:pStyle w:val="Header"/>
        <w:tabs>
          <w:tab w:val="clear" w:pos="4320"/>
          <w:tab w:val="clear" w:pos="8640"/>
        </w:tabs>
        <w:rPr>
          <w:bCs/>
          <w:lang w:val="sq-AL"/>
        </w:rPr>
      </w:pPr>
      <w:r w:rsidRPr="00305CB2">
        <w:rPr>
          <w:b/>
          <w:bCs/>
          <w:lang w:val="sq-AL"/>
        </w:rPr>
        <w:t>Lënda</w:t>
      </w:r>
      <w:r w:rsidR="00B043FC">
        <w:rPr>
          <w:b/>
          <w:bCs/>
          <w:lang w:val="sq-AL"/>
        </w:rPr>
        <w:t>:</w:t>
      </w:r>
      <w:r w:rsidRPr="00305CB2">
        <w:rPr>
          <w:b/>
          <w:bCs/>
          <w:lang w:val="sq-AL"/>
        </w:rPr>
        <w:t xml:space="preserve"> </w:t>
      </w:r>
      <w:r w:rsidR="006A2C9E" w:rsidRPr="00305CB2">
        <w:rPr>
          <w:bCs/>
          <w:lang w:val="sq-AL"/>
        </w:rPr>
        <w:t>Kthim Përgjigje</w:t>
      </w:r>
    </w:p>
    <w:p w14:paraId="598E45CA" w14:textId="77777777" w:rsidR="00B043FC" w:rsidRDefault="00B043FC" w:rsidP="0096758A">
      <w:pPr>
        <w:spacing w:after="160" w:line="259" w:lineRule="auto"/>
        <w:jc w:val="both"/>
        <w:rPr>
          <w:lang w:val="sq-AL"/>
        </w:rPr>
      </w:pPr>
    </w:p>
    <w:p w14:paraId="75CF8298" w14:textId="24D82498" w:rsidR="00271C22" w:rsidRPr="00305CB2" w:rsidRDefault="006A2C9E" w:rsidP="0096758A">
      <w:pPr>
        <w:spacing w:after="160" w:line="259" w:lineRule="auto"/>
        <w:jc w:val="both"/>
        <w:rPr>
          <w:lang w:val="sq-AL"/>
        </w:rPr>
      </w:pPr>
      <w:r w:rsidRPr="00305CB2">
        <w:rPr>
          <w:lang w:val="sq-AL"/>
        </w:rPr>
        <w:t>I nderuar Z.</w:t>
      </w:r>
      <w:r w:rsidR="00F77300">
        <w:rPr>
          <w:lang w:val="sq-AL"/>
        </w:rPr>
        <w:t>...</w:t>
      </w:r>
      <w:bookmarkStart w:id="0" w:name="_GoBack"/>
      <w:bookmarkEnd w:id="0"/>
      <w:r w:rsidRPr="00305CB2">
        <w:rPr>
          <w:lang w:val="sq-AL"/>
        </w:rPr>
        <w:t>,</w:t>
      </w:r>
    </w:p>
    <w:p w14:paraId="34D1FA01" w14:textId="5AF10B64" w:rsidR="00AB5824" w:rsidRPr="00305CB2" w:rsidRDefault="006A2C9E" w:rsidP="0096758A">
      <w:pPr>
        <w:spacing w:after="160" w:line="259" w:lineRule="auto"/>
        <w:jc w:val="both"/>
        <w:rPr>
          <w:lang w:val="sq-AL"/>
        </w:rPr>
      </w:pPr>
      <w:r w:rsidRPr="00305CB2">
        <w:rPr>
          <w:lang w:val="sq-AL"/>
        </w:rPr>
        <w:t>Më dat</w:t>
      </w:r>
      <w:r w:rsidR="000C0152" w:rsidRPr="00305CB2">
        <w:rPr>
          <w:lang w:val="sq-AL"/>
        </w:rPr>
        <w:t>ë 1</w:t>
      </w:r>
      <w:r w:rsidR="0052047F" w:rsidRPr="00305CB2">
        <w:rPr>
          <w:lang w:val="sq-AL"/>
        </w:rPr>
        <w:t>3</w:t>
      </w:r>
      <w:r w:rsidR="000C0152" w:rsidRPr="00305CB2">
        <w:rPr>
          <w:lang w:val="sq-AL"/>
        </w:rPr>
        <w:t xml:space="preserve"> Korrik </w:t>
      </w:r>
      <w:r w:rsidR="00AB5824" w:rsidRPr="00305CB2">
        <w:rPr>
          <w:lang w:val="sq-AL"/>
        </w:rPr>
        <w:t>202</w:t>
      </w:r>
      <w:r w:rsidR="000C0152" w:rsidRPr="00305CB2">
        <w:rPr>
          <w:lang w:val="sq-AL"/>
        </w:rPr>
        <w:t>3</w:t>
      </w:r>
      <w:r w:rsidR="00AB5824" w:rsidRPr="00305CB2">
        <w:rPr>
          <w:lang w:val="sq-AL"/>
        </w:rPr>
        <w:t xml:space="preserve"> shoqëria KESH-</w:t>
      </w:r>
      <w:r w:rsidRPr="00305CB2">
        <w:rPr>
          <w:lang w:val="sq-AL"/>
        </w:rPr>
        <w:t xml:space="preserve">sh.a. është njohur me kërkesën tuaj </w:t>
      </w:r>
      <w:r w:rsidR="0052047F" w:rsidRPr="00305CB2">
        <w:rPr>
          <w:lang w:val="sq-AL"/>
        </w:rPr>
        <w:t xml:space="preserve"> lidhur me</w:t>
      </w:r>
      <w:r w:rsidR="00271C22" w:rsidRPr="00305CB2">
        <w:rPr>
          <w:lang w:val="sq-AL"/>
        </w:rPr>
        <w:t xml:space="preserve"> </w:t>
      </w:r>
      <w:r w:rsidR="00B043FC" w:rsidRPr="00305CB2">
        <w:rPr>
          <w:lang w:val="sq-AL"/>
        </w:rPr>
        <w:t>çmimet</w:t>
      </w:r>
      <w:r w:rsidR="0052047F" w:rsidRPr="00305CB2">
        <w:rPr>
          <w:lang w:val="sq-AL"/>
        </w:rPr>
        <w:t xml:space="preserve"> e shitjes dhe blerjes se </w:t>
      </w:r>
      <w:r w:rsidR="00305CB2" w:rsidRPr="00305CB2">
        <w:rPr>
          <w:lang w:val="sq-AL"/>
        </w:rPr>
        <w:t>energjisë</w:t>
      </w:r>
      <w:r w:rsidR="0052047F" w:rsidRPr="00305CB2">
        <w:rPr>
          <w:lang w:val="sq-AL"/>
        </w:rPr>
        <w:t xml:space="preserve"> </w:t>
      </w:r>
      <w:r w:rsidR="00305CB2" w:rsidRPr="00305CB2">
        <w:rPr>
          <w:lang w:val="sq-AL"/>
        </w:rPr>
        <w:t>elektrike</w:t>
      </w:r>
      <w:r w:rsidR="00271C22" w:rsidRPr="00305CB2">
        <w:rPr>
          <w:lang w:val="sq-AL"/>
        </w:rPr>
        <w:t xml:space="preserve"> nga KESH sh.a.</w:t>
      </w:r>
      <w:r w:rsidR="0052047F" w:rsidRPr="00305CB2">
        <w:rPr>
          <w:lang w:val="sq-AL"/>
        </w:rPr>
        <w:t xml:space="preserve"> </w:t>
      </w:r>
      <w:r w:rsidR="00305CB2" w:rsidRPr="00305CB2">
        <w:rPr>
          <w:lang w:val="sq-AL"/>
        </w:rPr>
        <w:t>për</w:t>
      </w:r>
      <w:r w:rsidR="0052047F" w:rsidRPr="00305CB2">
        <w:rPr>
          <w:lang w:val="sq-AL"/>
        </w:rPr>
        <w:t xml:space="preserve"> </w:t>
      </w:r>
      <w:r w:rsidR="00305CB2" w:rsidRPr="00305CB2">
        <w:rPr>
          <w:lang w:val="sq-AL"/>
        </w:rPr>
        <w:t>vitin</w:t>
      </w:r>
      <w:r w:rsidR="0052047F" w:rsidRPr="00305CB2">
        <w:rPr>
          <w:lang w:val="sq-AL"/>
        </w:rPr>
        <w:t xml:space="preserve"> 2021 e 2022.</w:t>
      </w:r>
    </w:p>
    <w:p w14:paraId="7670D918" w14:textId="30AF2B6A" w:rsidR="00271C22" w:rsidRPr="00305CB2" w:rsidRDefault="00271C22" w:rsidP="00271C22">
      <w:pPr>
        <w:ind w:right="80"/>
        <w:jc w:val="both"/>
        <w:rPr>
          <w:lang w:val="sq-AL"/>
        </w:rPr>
      </w:pPr>
      <w:r w:rsidRPr="00305CB2">
        <w:rPr>
          <w:lang w:val="sq-AL"/>
        </w:rPr>
        <w:t>Ne vijim t</w:t>
      </w:r>
      <w:r w:rsidR="00305CB2">
        <w:rPr>
          <w:lang w:val="sq-AL"/>
        </w:rPr>
        <w:t>ë</w:t>
      </w:r>
      <w:r w:rsidRPr="00305CB2">
        <w:rPr>
          <w:lang w:val="sq-AL"/>
        </w:rPr>
        <w:t xml:space="preserve"> sa me </w:t>
      </w:r>
      <w:r w:rsidR="00305CB2" w:rsidRPr="00305CB2">
        <w:rPr>
          <w:lang w:val="sq-AL"/>
        </w:rPr>
        <w:t>sipër</w:t>
      </w:r>
      <w:r w:rsidRPr="00305CB2">
        <w:rPr>
          <w:lang w:val="sq-AL"/>
        </w:rPr>
        <w:t xml:space="preserve">, </w:t>
      </w:r>
      <w:r w:rsidR="0015125B" w:rsidRPr="00305CB2">
        <w:rPr>
          <w:lang w:val="sq-AL"/>
        </w:rPr>
        <w:t xml:space="preserve">duam </w:t>
      </w:r>
      <w:r w:rsidR="00305CB2" w:rsidRPr="00305CB2">
        <w:rPr>
          <w:lang w:val="sq-AL"/>
        </w:rPr>
        <w:t>t’ju</w:t>
      </w:r>
      <w:r w:rsidR="0015125B" w:rsidRPr="00305CB2">
        <w:rPr>
          <w:lang w:val="sq-AL"/>
        </w:rPr>
        <w:t xml:space="preserve"> </w:t>
      </w:r>
      <w:r w:rsidR="00305CB2" w:rsidRPr="00305CB2">
        <w:rPr>
          <w:lang w:val="sq-AL"/>
        </w:rPr>
        <w:t>sqarojmë</w:t>
      </w:r>
      <w:r w:rsidR="0015125B" w:rsidRPr="00305CB2">
        <w:rPr>
          <w:lang w:val="sq-AL"/>
        </w:rPr>
        <w:t xml:space="preserve"> se </w:t>
      </w:r>
      <w:r w:rsidR="00305CB2">
        <w:rPr>
          <w:lang w:val="sq-AL"/>
        </w:rPr>
        <w:t>bursa Hungareze p</w:t>
      </w:r>
      <w:r w:rsidR="00B043FC">
        <w:rPr>
          <w:lang w:val="sq-AL"/>
        </w:rPr>
        <w:t>ë</w:t>
      </w:r>
      <w:r w:rsidR="00305CB2">
        <w:rPr>
          <w:lang w:val="sq-AL"/>
        </w:rPr>
        <w:t>rdoret p</w:t>
      </w:r>
      <w:r w:rsidR="00B043FC">
        <w:rPr>
          <w:lang w:val="sq-AL"/>
        </w:rPr>
        <w:t>ë</w:t>
      </w:r>
      <w:r w:rsidR="00305CB2">
        <w:rPr>
          <w:lang w:val="sq-AL"/>
        </w:rPr>
        <w:t>r referenc</w:t>
      </w:r>
      <w:r w:rsidR="00B043FC">
        <w:rPr>
          <w:lang w:val="sq-AL"/>
        </w:rPr>
        <w:t>ë</w:t>
      </w:r>
      <w:r w:rsidR="00305CB2">
        <w:rPr>
          <w:lang w:val="sq-AL"/>
        </w:rPr>
        <w:t>, pasi gjeografikisht çmimi i energjis</w:t>
      </w:r>
      <w:r w:rsidR="00B043FC">
        <w:rPr>
          <w:lang w:val="sq-AL"/>
        </w:rPr>
        <w:t>ë</w:t>
      </w:r>
      <w:r w:rsidR="00305CB2">
        <w:rPr>
          <w:lang w:val="sq-AL"/>
        </w:rPr>
        <w:t xml:space="preserve"> p</w:t>
      </w:r>
      <w:r w:rsidR="00B043FC">
        <w:rPr>
          <w:lang w:val="sq-AL"/>
        </w:rPr>
        <w:t>ë</w:t>
      </w:r>
      <w:r w:rsidR="00305CB2">
        <w:rPr>
          <w:lang w:val="sq-AL"/>
        </w:rPr>
        <w:t>r flukset q</w:t>
      </w:r>
      <w:r w:rsidR="00B043FC">
        <w:rPr>
          <w:lang w:val="sq-AL"/>
        </w:rPr>
        <w:t>ë</w:t>
      </w:r>
      <w:r w:rsidR="00305CB2">
        <w:rPr>
          <w:lang w:val="sq-AL"/>
        </w:rPr>
        <w:t xml:space="preserve"> qarkullojn</w:t>
      </w:r>
      <w:r w:rsidR="00B043FC">
        <w:rPr>
          <w:lang w:val="sq-AL"/>
        </w:rPr>
        <w:t>ë</w:t>
      </w:r>
      <w:r w:rsidR="00305CB2">
        <w:rPr>
          <w:lang w:val="sq-AL"/>
        </w:rPr>
        <w:t xml:space="preserve"> n</w:t>
      </w:r>
      <w:r w:rsidR="00B043FC">
        <w:rPr>
          <w:lang w:val="sq-AL"/>
        </w:rPr>
        <w:t>ë</w:t>
      </w:r>
      <w:r w:rsidR="00305CB2">
        <w:rPr>
          <w:lang w:val="sq-AL"/>
        </w:rPr>
        <w:t xml:space="preserve"> Hungari nuk mund t</w:t>
      </w:r>
      <w:r w:rsidR="00B043FC">
        <w:rPr>
          <w:lang w:val="sq-AL"/>
        </w:rPr>
        <w:t>ë</w:t>
      </w:r>
      <w:r w:rsidR="00305CB2">
        <w:rPr>
          <w:lang w:val="sq-AL"/>
        </w:rPr>
        <w:t xml:space="preserve"> jet</w:t>
      </w:r>
      <w:r w:rsidR="00B043FC">
        <w:rPr>
          <w:lang w:val="sq-AL"/>
        </w:rPr>
        <w:t>ë</w:t>
      </w:r>
      <w:r w:rsidR="00305CB2">
        <w:rPr>
          <w:lang w:val="sq-AL"/>
        </w:rPr>
        <w:t xml:space="preserve"> i nj</w:t>
      </w:r>
      <w:r w:rsidR="00B043FC">
        <w:rPr>
          <w:lang w:val="sq-AL"/>
        </w:rPr>
        <w:t>ë</w:t>
      </w:r>
      <w:r w:rsidR="00305CB2">
        <w:rPr>
          <w:lang w:val="sq-AL"/>
        </w:rPr>
        <w:t>jt</w:t>
      </w:r>
      <w:r w:rsidR="00B043FC">
        <w:rPr>
          <w:lang w:val="sq-AL"/>
        </w:rPr>
        <w:t>ë</w:t>
      </w:r>
      <w:r w:rsidR="00305CB2">
        <w:rPr>
          <w:lang w:val="sq-AL"/>
        </w:rPr>
        <w:t xml:space="preserve"> edhe p</w:t>
      </w:r>
      <w:r w:rsidR="00B043FC">
        <w:rPr>
          <w:lang w:val="sq-AL"/>
        </w:rPr>
        <w:t>ë</w:t>
      </w:r>
      <w:r w:rsidR="00305CB2">
        <w:rPr>
          <w:lang w:val="sq-AL"/>
        </w:rPr>
        <w:t xml:space="preserve">r </w:t>
      </w:r>
      <w:r w:rsidR="00B043FC">
        <w:rPr>
          <w:lang w:val="sq-AL"/>
        </w:rPr>
        <w:t>Shqipërinë</w:t>
      </w:r>
      <w:r w:rsidR="00305CB2">
        <w:rPr>
          <w:lang w:val="sq-AL"/>
        </w:rPr>
        <w:t xml:space="preserve">. </w:t>
      </w:r>
    </w:p>
    <w:p w14:paraId="62455AAA" w14:textId="77777777" w:rsidR="00271C22" w:rsidRPr="00305CB2" w:rsidRDefault="00271C22" w:rsidP="00271C22">
      <w:pPr>
        <w:ind w:right="80"/>
        <w:jc w:val="both"/>
        <w:rPr>
          <w:lang w:val="sq-AL"/>
        </w:rPr>
      </w:pPr>
    </w:p>
    <w:p w14:paraId="19B409CC" w14:textId="774D103A" w:rsidR="00271C22" w:rsidRPr="00305CB2" w:rsidRDefault="00BA4C0D" w:rsidP="00271C22">
      <w:pPr>
        <w:ind w:right="80"/>
        <w:jc w:val="both"/>
        <w:rPr>
          <w:lang w:val="sq-AL"/>
        </w:rPr>
      </w:pPr>
      <w:r w:rsidRPr="00305CB2">
        <w:rPr>
          <w:lang w:val="sq-AL"/>
        </w:rPr>
        <w:t xml:space="preserve">Lidhur me </w:t>
      </w:r>
      <w:r w:rsidR="00305CB2" w:rsidRPr="00305CB2">
        <w:rPr>
          <w:lang w:val="sq-AL"/>
        </w:rPr>
        <w:t>këtë</w:t>
      </w:r>
      <w:r w:rsidRPr="00305CB2">
        <w:rPr>
          <w:lang w:val="sq-AL"/>
        </w:rPr>
        <w:t xml:space="preserve"> </w:t>
      </w:r>
      <w:r w:rsidR="00305CB2" w:rsidRPr="00305CB2">
        <w:rPr>
          <w:lang w:val="sq-AL"/>
        </w:rPr>
        <w:t>sqarojmë</w:t>
      </w:r>
      <w:r w:rsidR="00305CB2">
        <w:rPr>
          <w:lang w:val="sq-AL"/>
        </w:rPr>
        <w:t xml:space="preserve"> </w:t>
      </w:r>
      <w:r w:rsidRPr="00305CB2">
        <w:rPr>
          <w:lang w:val="sq-AL"/>
        </w:rPr>
        <w:t xml:space="preserve">se </w:t>
      </w:r>
      <w:r w:rsidR="00305CB2" w:rsidRPr="00305CB2">
        <w:rPr>
          <w:lang w:val="sq-AL"/>
        </w:rPr>
        <w:t>për</w:t>
      </w:r>
      <w:r w:rsidRPr="00305CB2">
        <w:rPr>
          <w:lang w:val="sq-AL"/>
        </w:rPr>
        <w:t xml:space="preserve"> te siguruar energji </w:t>
      </w:r>
      <w:r w:rsidR="00305CB2" w:rsidRPr="00305CB2">
        <w:rPr>
          <w:lang w:val="sq-AL"/>
        </w:rPr>
        <w:t>elektrike</w:t>
      </w:r>
      <w:r w:rsidRPr="00305CB2">
        <w:rPr>
          <w:lang w:val="sq-AL"/>
        </w:rPr>
        <w:t xml:space="preserve"> nga Bursa Hungareze, </w:t>
      </w:r>
      <w:r w:rsidR="00305CB2" w:rsidRPr="00305CB2">
        <w:rPr>
          <w:lang w:val="sq-AL"/>
        </w:rPr>
        <w:t>çdo</w:t>
      </w:r>
      <w:r w:rsidRPr="00305CB2">
        <w:rPr>
          <w:lang w:val="sq-AL"/>
        </w:rPr>
        <w:t xml:space="preserve"> </w:t>
      </w:r>
      <w:r w:rsidR="00305CB2" w:rsidRPr="00305CB2">
        <w:rPr>
          <w:lang w:val="sq-AL"/>
        </w:rPr>
        <w:t>shoqëri</w:t>
      </w:r>
      <w:r w:rsidRPr="00305CB2">
        <w:rPr>
          <w:lang w:val="sq-AL"/>
        </w:rPr>
        <w:t xml:space="preserve"> tregtare/prodhuese duhet t</w:t>
      </w:r>
      <w:r w:rsidR="00B043FC">
        <w:rPr>
          <w:lang w:val="sq-AL"/>
        </w:rPr>
        <w:t>ë</w:t>
      </w:r>
      <w:r w:rsidRPr="00305CB2">
        <w:rPr>
          <w:lang w:val="sq-AL"/>
        </w:rPr>
        <w:t xml:space="preserve"> marr</w:t>
      </w:r>
      <w:r w:rsidR="00B043FC">
        <w:rPr>
          <w:lang w:val="sq-AL"/>
        </w:rPr>
        <w:t>ë</w:t>
      </w:r>
      <w:r w:rsidRPr="00305CB2">
        <w:rPr>
          <w:lang w:val="sq-AL"/>
        </w:rPr>
        <w:t xml:space="preserve"> dhe t</w:t>
      </w:r>
      <w:r w:rsidR="00B043FC">
        <w:rPr>
          <w:lang w:val="sq-AL"/>
        </w:rPr>
        <w:t>ë</w:t>
      </w:r>
      <w:r w:rsidRPr="00305CB2">
        <w:rPr>
          <w:lang w:val="sq-AL"/>
        </w:rPr>
        <w:t xml:space="preserve"> siguroj</w:t>
      </w:r>
      <w:r w:rsidR="00B043FC">
        <w:rPr>
          <w:lang w:val="sq-AL"/>
        </w:rPr>
        <w:t>ë</w:t>
      </w:r>
      <w:r w:rsidRPr="00305CB2">
        <w:rPr>
          <w:lang w:val="sq-AL"/>
        </w:rPr>
        <w:t xml:space="preserve"> nga ankandet ditore t</w:t>
      </w:r>
      <w:r w:rsidR="00B043FC">
        <w:rPr>
          <w:lang w:val="sq-AL"/>
        </w:rPr>
        <w:t>ë</w:t>
      </w:r>
      <w:r w:rsidRPr="00305CB2">
        <w:rPr>
          <w:lang w:val="sq-AL"/>
        </w:rPr>
        <w:t xml:space="preserve"> </w:t>
      </w:r>
      <w:r w:rsidR="00305CB2" w:rsidRPr="00305CB2">
        <w:rPr>
          <w:lang w:val="sq-AL"/>
        </w:rPr>
        <w:t>shpallura</w:t>
      </w:r>
      <w:r w:rsidRPr="00305CB2">
        <w:rPr>
          <w:lang w:val="sq-AL"/>
        </w:rPr>
        <w:t xml:space="preserve"> nga OST</w:t>
      </w:r>
      <w:r w:rsidR="00305CB2">
        <w:rPr>
          <w:lang w:val="sq-AL"/>
        </w:rPr>
        <w:t>-t</w:t>
      </w:r>
      <w:r w:rsidR="00B043FC">
        <w:rPr>
          <w:lang w:val="sq-AL"/>
        </w:rPr>
        <w:t>ë</w:t>
      </w:r>
      <w:r w:rsidRPr="00305CB2">
        <w:rPr>
          <w:lang w:val="sq-AL"/>
        </w:rPr>
        <w:t xml:space="preserve"> e shteteve ku duhet t</w:t>
      </w:r>
      <w:r w:rsidR="00213290">
        <w:rPr>
          <w:lang w:val="sq-AL"/>
        </w:rPr>
        <w:t>ë</w:t>
      </w:r>
      <w:r w:rsidRPr="00305CB2">
        <w:rPr>
          <w:lang w:val="sq-AL"/>
        </w:rPr>
        <w:t xml:space="preserve"> kaloj</w:t>
      </w:r>
      <w:r w:rsidR="00213290">
        <w:rPr>
          <w:lang w:val="sq-AL"/>
        </w:rPr>
        <w:t>ë</w:t>
      </w:r>
      <w:r w:rsidRPr="00305CB2">
        <w:rPr>
          <w:lang w:val="sq-AL"/>
        </w:rPr>
        <w:t xml:space="preserve"> energjia, kapacitete transmetuese</w:t>
      </w:r>
      <w:r w:rsidR="00B043FC">
        <w:rPr>
          <w:lang w:val="sq-AL"/>
        </w:rPr>
        <w:t xml:space="preserve"> (</w:t>
      </w:r>
      <w:proofErr w:type="spellStart"/>
      <w:r w:rsidR="00B043FC">
        <w:rPr>
          <w:lang w:val="sq-AL"/>
        </w:rPr>
        <w:t>Cross</w:t>
      </w:r>
      <w:proofErr w:type="spellEnd"/>
      <w:r w:rsidR="00B043FC">
        <w:rPr>
          <w:lang w:val="sq-AL"/>
        </w:rPr>
        <w:t xml:space="preserve"> </w:t>
      </w:r>
      <w:proofErr w:type="spellStart"/>
      <w:r w:rsidR="00B043FC">
        <w:rPr>
          <w:lang w:val="sq-AL"/>
        </w:rPr>
        <w:t>Border</w:t>
      </w:r>
      <w:proofErr w:type="spellEnd"/>
      <w:r w:rsidR="00B043FC">
        <w:rPr>
          <w:lang w:val="sq-AL"/>
        </w:rPr>
        <w:t xml:space="preserve"> </w:t>
      </w:r>
      <w:proofErr w:type="spellStart"/>
      <w:r w:rsidR="00B043FC">
        <w:rPr>
          <w:lang w:val="sq-AL"/>
        </w:rPr>
        <w:t>Capacities</w:t>
      </w:r>
      <w:proofErr w:type="spellEnd"/>
      <w:r w:rsidR="00B043FC">
        <w:rPr>
          <w:lang w:val="sq-AL"/>
        </w:rPr>
        <w:t>, CBC)</w:t>
      </w:r>
      <w:r w:rsidRPr="00305CB2">
        <w:rPr>
          <w:lang w:val="sq-AL"/>
        </w:rPr>
        <w:t>.</w:t>
      </w:r>
      <w:r w:rsidR="00305CB2">
        <w:rPr>
          <w:lang w:val="sq-AL"/>
        </w:rPr>
        <w:t xml:space="preserve"> Kapacitetet transmetuese jan</w:t>
      </w:r>
      <w:r w:rsidR="00B043FC">
        <w:rPr>
          <w:lang w:val="sq-AL"/>
        </w:rPr>
        <w:t>ë</w:t>
      </w:r>
      <w:r w:rsidR="00305CB2">
        <w:rPr>
          <w:lang w:val="sq-AL"/>
        </w:rPr>
        <w:t xml:space="preserve"> “rruga” ku duhet t</w:t>
      </w:r>
      <w:r w:rsidR="00B043FC">
        <w:rPr>
          <w:lang w:val="sq-AL"/>
        </w:rPr>
        <w:t>ë</w:t>
      </w:r>
      <w:r w:rsidR="00305CB2">
        <w:rPr>
          <w:lang w:val="sq-AL"/>
        </w:rPr>
        <w:t xml:space="preserve"> kaloj</w:t>
      </w:r>
      <w:r w:rsidR="00B043FC">
        <w:rPr>
          <w:lang w:val="sq-AL"/>
        </w:rPr>
        <w:t>ë</w:t>
      </w:r>
      <w:r w:rsidR="00305CB2">
        <w:rPr>
          <w:lang w:val="sq-AL"/>
        </w:rPr>
        <w:t xml:space="preserve"> energjia dhe si e tille </w:t>
      </w:r>
      <w:r w:rsidR="00B043FC">
        <w:rPr>
          <w:lang w:val="sq-AL"/>
        </w:rPr>
        <w:t>ë</w:t>
      </w:r>
      <w:r w:rsidR="00305CB2">
        <w:rPr>
          <w:lang w:val="sq-AL"/>
        </w:rPr>
        <w:t>sht</w:t>
      </w:r>
      <w:r w:rsidR="00B043FC">
        <w:rPr>
          <w:lang w:val="sq-AL"/>
        </w:rPr>
        <w:t>ë</w:t>
      </w:r>
      <w:r w:rsidR="00305CB2">
        <w:rPr>
          <w:lang w:val="sq-AL"/>
        </w:rPr>
        <w:t xml:space="preserve"> me pages</w:t>
      </w:r>
      <w:r w:rsidR="00B043FC">
        <w:rPr>
          <w:lang w:val="sq-AL"/>
        </w:rPr>
        <w:t>ë</w:t>
      </w:r>
      <w:r w:rsidR="00305CB2">
        <w:rPr>
          <w:lang w:val="sq-AL"/>
        </w:rPr>
        <w:t xml:space="preserve"> n</w:t>
      </w:r>
      <w:r w:rsidR="00B043FC">
        <w:rPr>
          <w:lang w:val="sq-AL"/>
        </w:rPr>
        <w:t>ë</w:t>
      </w:r>
      <w:r w:rsidR="00305CB2">
        <w:rPr>
          <w:lang w:val="sq-AL"/>
        </w:rPr>
        <w:t xml:space="preserve"> </w:t>
      </w:r>
      <w:r w:rsidR="00B043FC">
        <w:rPr>
          <w:lang w:val="sq-AL"/>
        </w:rPr>
        <w:t>çdo</w:t>
      </w:r>
      <w:r w:rsidR="00305CB2">
        <w:rPr>
          <w:lang w:val="sq-AL"/>
        </w:rPr>
        <w:t xml:space="preserve"> shtet (p</w:t>
      </w:r>
      <w:r w:rsidR="00B043FC">
        <w:rPr>
          <w:lang w:val="sq-AL"/>
        </w:rPr>
        <w:t>ë</w:t>
      </w:r>
      <w:r w:rsidR="00305CB2">
        <w:rPr>
          <w:lang w:val="sq-AL"/>
        </w:rPr>
        <w:t>rfshir</w:t>
      </w:r>
      <w:r w:rsidR="00B043FC">
        <w:rPr>
          <w:lang w:val="sq-AL"/>
        </w:rPr>
        <w:t>ë</w:t>
      </w:r>
      <w:r w:rsidR="00305CB2">
        <w:rPr>
          <w:lang w:val="sq-AL"/>
        </w:rPr>
        <w:t xml:space="preserve"> </w:t>
      </w:r>
      <w:r w:rsidR="00B043FC">
        <w:rPr>
          <w:lang w:val="sq-AL"/>
        </w:rPr>
        <w:t>Shqipërinë</w:t>
      </w:r>
      <w:r w:rsidR="00305CB2">
        <w:rPr>
          <w:lang w:val="sq-AL"/>
        </w:rPr>
        <w:t xml:space="preserve">). </w:t>
      </w:r>
    </w:p>
    <w:p w14:paraId="2AE88903" w14:textId="77777777" w:rsidR="00BA4C0D" w:rsidRPr="00305CB2" w:rsidRDefault="00BA4C0D" w:rsidP="00271C22">
      <w:pPr>
        <w:ind w:right="80"/>
        <w:jc w:val="both"/>
        <w:rPr>
          <w:lang w:val="sq-AL"/>
        </w:rPr>
      </w:pPr>
    </w:p>
    <w:p w14:paraId="35DD10E1" w14:textId="2A8A6C70" w:rsidR="00BA4C0D" w:rsidRPr="00305CB2" w:rsidRDefault="00BA4C0D" w:rsidP="00AC7B37">
      <w:pPr>
        <w:pStyle w:val="ListParagraph"/>
        <w:numPr>
          <w:ilvl w:val="0"/>
          <w:numId w:val="3"/>
        </w:numPr>
        <w:ind w:left="0" w:right="80"/>
        <w:jc w:val="both"/>
        <w:rPr>
          <w:lang w:val="sq-AL"/>
        </w:rPr>
      </w:pPr>
      <w:r w:rsidRPr="00305CB2">
        <w:rPr>
          <w:b/>
          <w:lang w:val="sq-AL"/>
        </w:rPr>
        <w:t>N</w:t>
      </w:r>
      <w:r w:rsidR="00B043FC">
        <w:rPr>
          <w:b/>
          <w:lang w:val="sq-AL"/>
        </w:rPr>
        <w:t>ë</w:t>
      </w:r>
      <w:r w:rsidRPr="00305CB2">
        <w:rPr>
          <w:b/>
          <w:lang w:val="sq-AL"/>
        </w:rPr>
        <w:t xml:space="preserve"> rastin e shitjes </w:t>
      </w:r>
      <w:r w:rsidRPr="00305CB2">
        <w:rPr>
          <w:lang w:val="sq-AL"/>
        </w:rPr>
        <w:t xml:space="preserve">se </w:t>
      </w:r>
      <w:r w:rsidR="00305CB2" w:rsidRPr="00305CB2">
        <w:rPr>
          <w:lang w:val="sq-AL"/>
        </w:rPr>
        <w:t>energjisë</w:t>
      </w:r>
      <w:r w:rsidR="00305CB2">
        <w:rPr>
          <w:lang w:val="sq-AL"/>
        </w:rPr>
        <w:t xml:space="preserve"> nga KESH sh.a,</w:t>
      </w:r>
      <w:r w:rsidRPr="00305CB2">
        <w:rPr>
          <w:lang w:val="sq-AL"/>
        </w:rPr>
        <w:t xml:space="preserve"> </w:t>
      </w:r>
      <w:r w:rsidR="00305CB2" w:rsidRPr="00305CB2">
        <w:rPr>
          <w:lang w:val="sq-AL"/>
        </w:rPr>
        <w:t>shoqëritë</w:t>
      </w:r>
      <w:r w:rsidRPr="00305CB2">
        <w:rPr>
          <w:lang w:val="sq-AL"/>
        </w:rPr>
        <w:t xml:space="preserve"> tregtare/prodhuese duhet t</w:t>
      </w:r>
      <w:r w:rsidR="00213290">
        <w:rPr>
          <w:lang w:val="sq-AL"/>
        </w:rPr>
        <w:t>ë</w:t>
      </w:r>
      <w:r w:rsidRPr="00305CB2">
        <w:rPr>
          <w:lang w:val="sq-AL"/>
        </w:rPr>
        <w:t xml:space="preserve"> </w:t>
      </w:r>
      <w:r w:rsidR="00305CB2" w:rsidRPr="00305CB2">
        <w:rPr>
          <w:lang w:val="sq-AL"/>
        </w:rPr>
        <w:t>sigurojnë</w:t>
      </w:r>
      <w:r w:rsidRPr="00305CB2">
        <w:rPr>
          <w:lang w:val="sq-AL"/>
        </w:rPr>
        <w:t xml:space="preserve"> kapacitete transmetuese </w:t>
      </w:r>
      <w:r w:rsidR="00305CB2" w:rsidRPr="00305CB2">
        <w:rPr>
          <w:lang w:val="sq-AL"/>
        </w:rPr>
        <w:t>për</w:t>
      </w:r>
      <w:r w:rsidRPr="00305CB2">
        <w:rPr>
          <w:lang w:val="sq-AL"/>
        </w:rPr>
        <w:t xml:space="preserve"> ta shitur </w:t>
      </w:r>
      <w:r w:rsidR="00305CB2" w:rsidRPr="00305CB2">
        <w:rPr>
          <w:lang w:val="sq-AL"/>
        </w:rPr>
        <w:t>këtë</w:t>
      </w:r>
      <w:r w:rsidRPr="00305CB2">
        <w:rPr>
          <w:lang w:val="sq-AL"/>
        </w:rPr>
        <w:t xml:space="preserve"> energji</w:t>
      </w:r>
      <w:r w:rsidR="00305CB2">
        <w:rPr>
          <w:lang w:val="sq-AL"/>
        </w:rPr>
        <w:t xml:space="preserve">, shembull </w:t>
      </w:r>
      <w:r w:rsidRPr="00305CB2">
        <w:rPr>
          <w:lang w:val="sq-AL"/>
        </w:rPr>
        <w:t>n</w:t>
      </w:r>
      <w:r w:rsidR="00305CB2">
        <w:rPr>
          <w:lang w:val="sq-AL"/>
        </w:rPr>
        <w:t>ë</w:t>
      </w:r>
      <w:r w:rsidRPr="00305CB2">
        <w:rPr>
          <w:lang w:val="sq-AL"/>
        </w:rPr>
        <w:t xml:space="preserve"> </w:t>
      </w:r>
      <w:r w:rsidR="00305CB2" w:rsidRPr="00305CB2">
        <w:rPr>
          <w:lang w:val="sq-AL"/>
        </w:rPr>
        <w:t>Bursën</w:t>
      </w:r>
      <w:r w:rsidRPr="00305CB2">
        <w:rPr>
          <w:lang w:val="sq-AL"/>
        </w:rPr>
        <w:t xml:space="preserve"> Hungareze</w:t>
      </w:r>
      <w:r w:rsidR="00B043FC">
        <w:rPr>
          <w:lang w:val="sq-AL"/>
        </w:rPr>
        <w:t xml:space="preserve"> dhe ta kalojnë këtë energji</w:t>
      </w:r>
      <w:r w:rsidRPr="00305CB2">
        <w:rPr>
          <w:lang w:val="sq-AL"/>
        </w:rPr>
        <w:t xml:space="preserve"> sipas linjave transmetuese te shteteve te </w:t>
      </w:r>
      <w:r w:rsidR="00305CB2" w:rsidRPr="00305CB2">
        <w:rPr>
          <w:lang w:val="sq-AL"/>
        </w:rPr>
        <w:t>mëposhtme</w:t>
      </w:r>
      <w:r w:rsidRPr="00305CB2">
        <w:rPr>
          <w:lang w:val="sq-AL"/>
        </w:rPr>
        <w:t>:</w:t>
      </w:r>
    </w:p>
    <w:p w14:paraId="7CDD6AF1" w14:textId="77777777" w:rsidR="00BA4C0D" w:rsidRPr="00305CB2" w:rsidRDefault="00BA4C0D" w:rsidP="00271C22">
      <w:pPr>
        <w:ind w:right="80"/>
        <w:jc w:val="both"/>
        <w:rPr>
          <w:lang w:val="sq-AL"/>
        </w:rPr>
      </w:pPr>
    </w:p>
    <w:p w14:paraId="555C8C45" w14:textId="758DDD20" w:rsidR="00BA4C0D" w:rsidRPr="00305CB2" w:rsidRDefault="00BA4C0D" w:rsidP="00271C22">
      <w:pPr>
        <w:ind w:right="80"/>
        <w:jc w:val="both"/>
        <w:rPr>
          <w:lang w:val="sq-AL"/>
        </w:rPr>
      </w:pPr>
      <w:r w:rsidRPr="00305CB2">
        <w:rPr>
          <w:lang w:val="sq-AL"/>
        </w:rPr>
        <w:t>Rruga e par</w:t>
      </w:r>
      <w:r w:rsidR="00B043FC">
        <w:rPr>
          <w:lang w:val="sq-AL"/>
        </w:rPr>
        <w:t>ë</w:t>
      </w:r>
      <w:r w:rsidRPr="00305CB2">
        <w:rPr>
          <w:lang w:val="sq-AL"/>
        </w:rPr>
        <w:t xml:space="preserve">: </w:t>
      </w:r>
      <w:r w:rsidR="00305CB2" w:rsidRPr="00B043FC">
        <w:rPr>
          <w:i/>
          <w:iCs/>
          <w:lang w:val="sq-AL"/>
        </w:rPr>
        <w:t>Shqipëri</w:t>
      </w:r>
      <w:r w:rsidRPr="00B043FC">
        <w:rPr>
          <w:i/>
          <w:iCs/>
          <w:lang w:val="sq-AL"/>
        </w:rPr>
        <w:t xml:space="preserve"> → Mali i Zi → Serbi → Hungari</w:t>
      </w:r>
    </w:p>
    <w:p w14:paraId="5A7E227C" w14:textId="4D05561B" w:rsidR="00BA4C0D" w:rsidRPr="00305CB2" w:rsidRDefault="00BA4C0D" w:rsidP="00BA4C0D">
      <w:pPr>
        <w:ind w:right="80"/>
        <w:jc w:val="both"/>
        <w:rPr>
          <w:lang w:val="sq-AL"/>
        </w:rPr>
      </w:pPr>
      <w:r w:rsidRPr="00305CB2">
        <w:rPr>
          <w:lang w:val="sq-AL"/>
        </w:rPr>
        <w:t>Rruga e dyt</w:t>
      </w:r>
      <w:r w:rsidR="00B043FC">
        <w:rPr>
          <w:lang w:val="sq-AL"/>
        </w:rPr>
        <w:t>ë</w:t>
      </w:r>
      <w:r w:rsidRPr="00305CB2">
        <w:rPr>
          <w:lang w:val="sq-AL"/>
        </w:rPr>
        <w:t xml:space="preserve">: </w:t>
      </w:r>
      <w:r w:rsidR="00305CB2" w:rsidRPr="00B043FC">
        <w:rPr>
          <w:i/>
          <w:iCs/>
          <w:lang w:val="sq-AL"/>
        </w:rPr>
        <w:t>Shqipëri</w:t>
      </w:r>
      <w:r w:rsidRPr="00B043FC">
        <w:rPr>
          <w:i/>
          <w:iCs/>
          <w:lang w:val="sq-AL"/>
        </w:rPr>
        <w:t xml:space="preserve"> → Mali i Zi → Bosnje </w:t>
      </w:r>
      <w:r w:rsidR="00B043FC" w:rsidRPr="00B043FC">
        <w:rPr>
          <w:i/>
          <w:iCs/>
          <w:lang w:val="sq-AL"/>
        </w:rPr>
        <w:t>Hercegovina</w:t>
      </w:r>
      <w:r w:rsidRPr="00B043FC">
        <w:rPr>
          <w:i/>
          <w:iCs/>
          <w:lang w:val="sq-AL"/>
        </w:rPr>
        <w:t xml:space="preserve"> → Kroaci → Hungari</w:t>
      </w:r>
    </w:p>
    <w:p w14:paraId="33FDCCB5" w14:textId="3E70D313" w:rsidR="00BA4C0D" w:rsidRDefault="00BA4C0D" w:rsidP="00BA4C0D">
      <w:pPr>
        <w:ind w:right="80"/>
        <w:jc w:val="both"/>
        <w:rPr>
          <w:lang w:val="sq-AL"/>
        </w:rPr>
      </w:pPr>
      <w:r w:rsidRPr="00305CB2">
        <w:rPr>
          <w:lang w:val="sq-AL"/>
        </w:rPr>
        <w:t>Rruga e tret</w:t>
      </w:r>
      <w:r w:rsidR="00B043FC">
        <w:rPr>
          <w:lang w:val="sq-AL"/>
        </w:rPr>
        <w:t>ë</w:t>
      </w:r>
      <w:r w:rsidRPr="00305CB2">
        <w:rPr>
          <w:lang w:val="sq-AL"/>
        </w:rPr>
        <w:t xml:space="preserve">: </w:t>
      </w:r>
      <w:r w:rsidR="00305CB2" w:rsidRPr="00B043FC">
        <w:rPr>
          <w:i/>
          <w:iCs/>
          <w:lang w:val="sq-AL"/>
        </w:rPr>
        <w:t>Shqipëri</w:t>
      </w:r>
      <w:r w:rsidRPr="00B043FC">
        <w:rPr>
          <w:i/>
          <w:iCs/>
          <w:lang w:val="sq-AL"/>
        </w:rPr>
        <w:t xml:space="preserve"> → Kosove → Maqedoni → Bullgari → Rumani → Hungari</w:t>
      </w:r>
    </w:p>
    <w:p w14:paraId="095E6848" w14:textId="22AEFD62" w:rsidR="00B043FC" w:rsidRPr="00305CB2" w:rsidRDefault="00B043FC" w:rsidP="00BA4C0D">
      <w:pPr>
        <w:ind w:right="80"/>
        <w:jc w:val="both"/>
        <w:rPr>
          <w:lang w:val="sq-AL"/>
        </w:rPr>
      </w:pPr>
      <w:r>
        <w:rPr>
          <w:lang w:val="sq-AL"/>
        </w:rPr>
        <w:t>Rruge alternative</w:t>
      </w:r>
    </w:p>
    <w:p w14:paraId="2AA3178B" w14:textId="77777777" w:rsidR="00BA4C0D" w:rsidRPr="00305CB2" w:rsidRDefault="00BA4C0D" w:rsidP="00BA4C0D">
      <w:pPr>
        <w:ind w:right="80"/>
        <w:jc w:val="both"/>
        <w:rPr>
          <w:lang w:val="sq-AL"/>
        </w:rPr>
      </w:pPr>
    </w:p>
    <w:p w14:paraId="4DCAF687" w14:textId="3A77FA16" w:rsidR="00BA4C0D" w:rsidRPr="00305CB2" w:rsidRDefault="00305CB2" w:rsidP="00271C22">
      <w:pPr>
        <w:ind w:right="80"/>
        <w:jc w:val="both"/>
        <w:rPr>
          <w:lang w:val="sq-AL"/>
        </w:rPr>
      </w:pPr>
      <w:r w:rsidRPr="00305CB2">
        <w:rPr>
          <w:lang w:val="sq-AL"/>
        </w:rPr>
        <w:t>Çmimi</w:t>
      </w:r>
      <w:r w:rsidR="0015125B" w:rsidRPr="00305CB2">
        <w:rPr>
          <w:lang w:val="sq-AL"/>
        </w:rPr>
        <w:t xml:space="preserve"> i </w:t>
      </w:r>
      <w:r w:rsidRPr="00305CB2">
        <w:rPr>
          <w:lang w:val="sq-AL"/>
        </w:rPr>
        <w:t>pritshëm</w:t>
      </w:r>
      <w:r w:rsidR="0015125B" w:rsidRPr="00305CB2">
        <w:rPr>
          <w:lang w:val="sq-AL"/>
        </w:rPr>
        <w:t xml:space="preserve"> </w:t>
      </w:r>
      <w:r w:rsidRPr="00305CB2">
        <w:rPr>
          <w:lang w:val="sq-AL"/>
        </w:rPr>
        <w:t>për</w:t>
      </w:r>
      <w:r w:rsidR="0015125B" w:rsidRPr="00305CB2">
        <w:rPr>
          <w:lang w:val="sq-AL"/>
        </w:rPr>
        <w:t xml:space="preserve"> shitje</w:t>
      </w:r>
      <w:r w:rsidR="00BA4C0D" w:rsidRPr="00305CB2">
        <w:rPr>
          <w:lang w:val="sq-AL"/>
        </w:rPr>
        <w:t xml:space="preserve"> </w:t>
      </w:r>
      <w:r w:rsidR="0015125B" w:rsidRPr="00305CB2">
        <w:rPr>
          <w:lang w:val="sq-AL"/>
        </w:rPr>
        <w:t>t</w:t>
      </w:r>
      <w:r w:rsidR="00B043FC">
        <w:rPr>
          <w:lang w:val="sq-AL"/>
        </w:rPr>
        <w:t>ë</w:t>
      </w:r>
      <w:r w:rsidR="00BA4C0D" w:rsidRPr="00305CB2">
        <w:rPr>
          <w:lang w:val="sq-AL"/>
        </w:rPr>
        <w:t xml:space="preserve"> </w:t>
      </w:r>
      <w:r w:rsidRPr="00305CB2">
        <w:rPr>
          <w:lang w:val="sq-AL"/>
        </w:rPr>
        <w:t>energjisë</w:t>
      </w:r>
      <w:r w:rsidR="00BA4C0D" w:rsidRPr="00305CB2">
        <w:rPr>
          <w:lang w:val="sq-AL"/>
        </w:rPr>
        <w:t xml:space="preserve"> </w:t>
      </w:r>
      <w:r w:rsidR="0015125B" w:rsidRPr="00305CB2">
        <w:rPr>
          <w:lang w:val="sq-AL"/>
        </w:rPr>
        <w:t xml:space="preserve">elektrike </w:t>
      </w:r>
      <w:r w:rsidRPr="00305CB2">
        <w:rPr>
          <w:lang w:val="sq-AL"/>
        </w:rPr>
        <w:t>shoqërive</w:t>
      </w:r>
      <w:r w:rsidR="0015125B" w:rsidRPr="00305CB2">
        <w:rPr>
          <w:lang w:val="sq-AL"/>
        </w:rPr>
        <w:t xml:space="preserve"> tregtare/prodhuese nga KESH sh.a.,</w:t>
      </w:r>
      <w:r w:rsidR="00AC7B37" w:rsidRPr="00305CB2">
        <w:rPr>
          <w:lang w:val="sq-AL"/>
        </w:rPr>
        <w:t xml:space="preserve"> duke u bazuar tek formula e </w:t>
      </w:r>
      <w:r w:rsidRPr="00305CB2">
        <w:rPr>
          <w:lang w:val="sq-AL"/>
        </w:rPr>
        <w:t>përdor</w:t>
      </w:r>
      <w:r>
        <w:rPr>
          <w:lang w:val="sq-AL"/>
        </w:rPr>
        <w:t>ur</w:t>
      </w:r>
      <w:r w:rsidR="00AC7B37" w:rsidRPr="00305CB2">
        <w:rPr>
          <w:lang w:val="sq-AL"/>
        </w:rPr>
        <w:t xml:space="preserve"> nga Bordi</w:t>
      </w:r>
      <w:r>
        <w:rPr>
          <w:lang w:val="sq-AL"/>
        </w:rPr>
        <w:t xml:space="preserve"> i</w:t>
      </w:r>
      <w:r w:rsidR="00AC7B37" w:rsidRPr="00305CB2">
        <w:rPr>
          <w:lang w:val="sq-AL"/>
        </w:rPr>
        <w:t xml:space="preserve"> ERE </w:t>
      </w:r>
      <w:r w:rsidRPr="00305CB2">
        <w:rPr>
          <w:lang w:val="sq-AL"/>
        </w:rPr>
        <w:t>për</w:t>
      </w:r>
      <w:r w:rsidR="00AC7B37" w:rsidRPr="00305CB2">
        <w:rPr>
          <w:lang w:val="sq-AL"/>
        </w:rPr>
        <w:t xml:space="preserve"> </w:t>
      </w:r>
      <w:r w:rsidRPr="00305CB2">
        <w:rPr>
          <w:lang w:val="sq-AL"/>
        </w:rPr>
        <w:t>Metodologjinë</w:t>
      </w:r>
      <w:r w:rsidR="00AC7B37" w:rsidRPr="00305CB2">
        <w:rPr>
          <w:lang w:val="sq-AL"/>
        </w:rPr>
        <w:t xml:space="preserve"> e </w:t>
      </w:r>
      <w:r w:rsidRPr="00305CB2">
        <w:rPr>
          <w:lang w:val="sq-AL"/>
        </w:rPr>
        <w:t>përcaktimit</w:t>
      </w:r>
      <w:r w:rsidR="00AC7B37" w:rsidRPr="00305CB2">
        <w:rPr>
          <w:lang w:val="sq-AL"/>
        </w:rPr>
        <w:t xml:space="preserve"> te </w:t>
      </w:r>
      <w:r w:rsidRPr="00305CB2">
        <w:rPr>
          <w:lang w:val="sq-AL"/>
        </w:rPr>
        <w:t>çmimit</w:t>
      </w:r>
      <w:r w:rsidR="00AC7B37" w:rsidRPr="00305CB2">
        <w:rPr>
          <w:lang w:val="sq-AL"/>
        </w:rPr>
        <w:t xml:space="preserve">/tarifave </w:t>
      </w:r>
      <w:r w:rsidR="00C76E65" w:rsidRPr="00305CB2">
        <w:rPr>
          <w:lang w:val="sq-AL"/>
        </w:rPr>
        <w:t>do t</w:t>
      </w:r>
      <w:r>
        <w:rPr>
          <w:lang w:val="sq-AL"/>
        </w:rPr>
        <w:t>ë</w:t>
      </w:r>
      <w:r w:rsidR="00C76E65" w:rsidRPr="00305CB2">
        <w:rPr>
          <w:lang w:val="sq-AL"/>
        </w:rPr>
        <w:t xml:space="preserve"> ishte</w:t>
      </w:r>
      <w:r w:rsidR="0015125B" w:rsidRPr="00305CB2">
        <w:rPr>
          <w:lang w:val="sq-AL"/>
        </w:rPr>
        <w:t xml:space="preserve"> = [</w:t>
      </w:r>
      <w:r w:rsidRPr="00305CB2">
        <w:rPr>
          <w:lang w:val="sq-AL"/>
        </w:rPr>
        <w:t>Çmimi</w:t>
      </w:r>
      <w:r w:rsidR="0015125B" w:rsidRPr="00305CB2">
        <w:rPr>
          <w:lang w:val="sq-AL"/>
        </w:rPr>
        <w:t xml:space="preserve"> referenc</w:t>
      </w:r>
      <w:r w:rsidR="00B043FC">
        <w:rPr>
          <w:lang w:val="sq-AL"/>
        </w:rPr>
        <w:t>ë</w:t>
      </w:r>
      <w:r w:rsidR="0015125B" w:rsidRPr="00305CB2">
        <w:rPr>
          <w:lang w:val="sq-AL"/>
        </w:rPr>
        <w:t xml:space="preserve"> i </w:t>
      </w:r>
      <w:r w:rsidRPr="00305CB2">
        <w:rPr>
          <w:lang w:val="sq-AL"/>
        </w:rPr>
        <w:t>Bursës</w:t>
      </w:r>
      <w:r w:rsidR="0015125B" w:rsidRPr="00305CB2">
        <w:rPr>
          <w:lang w:val="sq-AL"/>
        </w:rPr>
        <w:t xml:space="preserve"> Hungareze </w:t>
      </w:r>
      <w:r w:rsidR="00B043FC">
        <w:rPr>
          <w:lang w:val="sq-AL"/>
        </w:rPr>
        <w:t>-</w:t>
      </w:r>
      <w:r w:rsidR="0015125B" w:rsidRPr="00305CB2">
        <w:rPr>
          <w:lang w:val="sq-AL"/>
        </w:rPr>
        <w:t xml:space="preserve"> Kosto/</w:t>
      </w:r>
      <w:r w:rsidR="00B043FC" w:rsidRPr="00305CB2">
        <w:rPr>
          <w:lang w:val="sq-AL"/>
        </w:rPr>
        <w:t>Çmimi</w:t>
      </w:r>
      <w:r w:rsidR="0015125B" w:rsidRPr="00305CB2">
        <w:rPr>
          <w:lang w:val="sq-AL"/>
        </w:rPr>
        <w:t xml:space="preserve"> i kapaciteteve i siguruar nga ankandet e shpallura nga </w:t>
      </w:r>
      <w:r>
        <w:rPr>
          <w:lang w:val="sq-AL"/>
        </w:rPr>
        <w:t>OST-t</w:t>
      </w:r>
      <w:r w:rsidR="00B043FC">
        <w:rPr>
          <w:lang w:val="sq-AL"/>
        </w:rPr>
        <w:t>ë</w:t>
      </w:r>
      <w:r>
        <w:rPr>
          <w:lang w:val="sq-AL"/>
        </w:rPr>
        <w:t xml:space="preserve"> e çdo shteti ku kalon</w:t>
      </w:r>
      <w:r w:rsidR="0015125B" w:rsidRPr="00305CB2">
        <w:rPr>
          <w:lang w:val="sq-AL"/>
        </w:rPr>
        <w:t xml:space="preserve"> </w:t>
      </w:r>
      <w:r>
        <w:rPr>
          <w:lang w:val="sq-AL"/>
        </w:rPr>
        <w:t xml:space="preserve">- </w:t>
      </w:r>
      <w:r w:rsidR="0015125B" w:rsidRPr="00305CB2">
        <w:rPr>
          <w:lang w:val="sq-AL"/>
        </w:rPr>
        <w:t>Kosto administrative</w:t>
      </w:r>
      <w:r>
        <w:rPr>
          <w:lang w:val="sq-AL"/>
        </w:rPr>
        <w:t xml:space="preserve"> / fitim</w:t>
      </w:r>
      <w:r w:rsidR="0015125B" w:rsidRPr="00305CB2">
        <w:rPr>
          <w:lang w:val="sq-AL"/>
        </w:rPr>
        <w:t xml:space="preserve"> t</w:t>
      </w:r>
      <w:r w:rsidR="00B043FC">
        <w:rPr>
          <w:lang w:val="sq-AL"/>
        </w:rPr>
        <w:t>ë</w:t>
      </w:r>
      <w:r w:rsidR="0015125B" w:rsidRPr="00305CB2">
        <w:rPr>
          <w:lang w:val="sq-AL"/>
        </w:rPr>
        <w:t xml:space="preserve"> </w:t>
      </w:r>
      <w:r w:rsidRPr="00305CB2">
        <w:rPr>
          <w:lang w:val="sq-AL"/>
        </w:rPr>
        <w:t>shoqërive</w:t>
      </w:r>
      <w:r w:rsidR="0015125B" w:rsidRPr="00305CB2">
        <w:rPr>
          <w:lang w:val="sq-AL"/>
        </w:rPr>
        <w:t xml:space="preserve"> tregtare/prodhuese  </w:t>
      </w:r>
      <w:r>
        <w:rPr>
          <w:lang w:val="sq-AL"/>
        </w:rPr>
        <w:t>-</w:t>
      </w:r>
      <w:r w:rsidR="0015125B" w:rsidRPr="00305CB2">
        <w:rPr>
          <w:lang w:val="sq-AL"/>
        </w:rPr>
        <w:t xml:space="preserve"> Kosto/</w:t>
      </w:r>
      <w:proofErr w:type="spellStart"/>
      <w:r w:rsidR="0015125B" w:rsidRPr="00305CB2">
        <w:rPr>
          <w:lang w:val="sq-AL"/>
        </w:rPr>
        <w:t>fi</w:t>
      </w:r>
      <w:proofErr w:type="spellEnd"/>
      <w:r w:rsidR="0015125B" w:rsidRPr="00305CB2">
        <w:rPr>
          <w:lang w:val="sq-AL"/>
        </w:rPr>
        <w:t xml:space="preserve">-ja që Bursat kërkojnë për </w:t>
      </w:r>
      <w:r w:rsidRPr="00305CB2">
        <w:rPr>
          <w:lang w:val="sq-AL"/>
        </w:rPr>
        <w:t>çdo</w:t>
      </w:r>
      <w:r w:rsidR="0015125B" w:rsidRPr="00305CB2">
        <w:rPr>
          <w:lang w:val="sq-AL"/>
        </w:rPr>
        <w:t xml:space="preserve"> transaksion </w:t>
      </w:r>
      <w:r>
        <w:rPr>
          <w:lang w:val="sq-AL"/>
        </w:rPr>
        <w:t>- Kosto t</w:t>
      </w:r>
      <w:r w:rsidR="00B043FC">
        <w:rPr>
          <w:lang w:val="sq-AL"/>
        </w:rPr>
        <w:t>ë</w:t>
      </w:r>
      <w:r>
        <w:rPr>
          <w:lang w:val="sq-AL"/>
        </w:rPr>
        <w:t xml:space="preserve"> tjera (kosto krediti</w:t>
      </w:r>
      <w:r w:rsidR="00B043FC">
        <w:rPr>
          <w:lang w:val="sq-AL"/>
        </w:rPr>
        <w:t>, parapagimi</w:t>
      </w:r>
      <w:r>
        <w:rPr>
          <w:lang w:val="sq-AL"/>
        </w:rPr>
        <w:t xml:space="preserve"> etj.)</w:t>
      </w:r>
      <w:r w:rsidR="0015125B" w:rsidRPr="00305CB2">
        <w:rPr>
          <w:lang w:val="sq-AL"/>
        </w:rPr>
        <w:t>]</w:t>
      </w:r>
    </w:p>
    <w:p w14:paraId="7E607A5F" w14:textId="77777777" w:rsidR="00BA4C0D" w:rsidRPr="00305CB2" w:rsidRDefault="00BA4C0D" w:rsidP="00271C22">
      <w:pPr>
        <w:ind w:right="80"/>
        <w:jc w:val="both"/>
        <w:rPr>
          <w:lang w:val="sq-AL"/>
        </w:rPr>
      </w:pPr>
    </w:p>
    <w:p w14:paraId="56438CD7" w14:textId="75EBF042" w:rsidR="00AC7B37" w:rsidRPr="00305CB2" w:rsidRDefault="00AC7B37" w:rsidP="00AC7B37">
      <w:pPr>
        <w:pStyle w:val="ListParagraph"/>
        <w:numPr>
          <w:ilvl w:val="0"/>
          <w:numId w:val="2"/>
        </w:numPr>
        <w:ind w:left="0" w:right="80"/>
        <w:jc w:val="both"/>
        <w:rPr>
          <w:lang w:val="sq-AL"/>
        </w:rPr>
      </w:pPr>
      <w:r w:rsidRPr="00305CB2">
        <w:rPr>
          <w:b/>
          <w:lang w:val="sq-AL"/>
        </w:rPr>
        <w:t>N</w:t>
      </w:r>
      <w:r w:rsidR="00B043FC">
        <w:rPr>
          <w:b/>
          <w:lang w:val="sq-AL"/>
        </w:rPr>
        <w:t>ë</w:t>
      </w:r>
      <w:r w:rsidRPr="00305CB2">
        <w:rPr>
          <w:b/>
          <w:lang w:val="sq-AL"/>
        </w:rPr>
        <w:t xml:space="preserve"> rastin e Blerjes</w:t>
      </w:r>
      <w:r w:rsidRPr="00305CB2">
        <w:rPr>
          <w:lang w:val="sq-AL"/>
        </w:rPr>
        <w:t xml:space="preserve"> se </w:t>
      </w:r>
      <w:r w:rsidR="00305CB2" w:rsidRPr="00305CB2">
        <w:rPr>
          <w:lang w:val="sq-AL"/>
        </w:rPr>
        <w:t>energjisë</w:t>
      </w:r>
      <w:r w:rsidR="00305CB2">
        <w:rPr>
          <w:lang w:val="sq-AL"/>
        </w:rPr>
        <w:t xml:space="preserve"> nga KESH sh.a,</w:t>
      </w:r>
      <w:r w:rsidRPr="00305CB2">
        <w:rPr>
          <w:lang w:val="sq-AL"/>
        </w:rPr>
        <w:t xml:space="preserve"> </w:t>
      </w:r>
      <w:r w:rsidR="00305CB2" w:rsidRPr="00305CB2">
        <w:rPr>
          <w:lang w:val="sq-AL"/>
        </w:rPr>
        <w:t>shoqëritë</w:t>
      </w:r>
      <w:r w:rsidRPr="00305CB2">
        <w:rPr>
          <w:lang w:val="sq-AL"/>
        </w:rPr>
        <w:t xml:space="preserve"> tregtare/prodhuese duhet t</w:t>
      </w:r>
      <w:r w:rsidR="00B043FC">
        <w:rPr>
          <w:lang w:val="sq-AL"/>
        </w:rPr>
        <w:t>ë</w:t>
      </w:r>
      <w:r w:rsidRPr="00305CB2">
        <w:rPr>
          <w:lang w:val="sq-AL"/>
        </w:rPr>
        <w:t xml:space="preserve"> </w:t>
      </w:r>
      <w:r w:rsidR="00305CB2" w:rsidRPr="00305CB2">
        <w:rPr>
          <w:lang w:val="sq-AL"/>
        </w:rPr>
        <w:t>sigurojnë</w:t>
      </w:r>
      <w:r w:rsidRPr="00305CB2">
        <w:rPr>
          <w:lang w:val="sq-AL"/>
        </w:rPr>
        <w:t xml:space="preserve"> kapacitete transmetuese </w:t>
      </w:r>
      <w:r w:rsidR="00305CB2" w:rsidRPr="00305CB2">
        <w:rPr>
          <w:lang w:val="sq-AL"/>
        </w:rPr>
        <w:t>për</w:t>
      </w:r>
      <w:r w:rsidRPr="00305CB2">
        <w:rPr>
          <w:lang w:val="sq-AL"/>
        </w:rPr>
        <w:t xml:space="preserve"> ta bler</w:t>
      </w:r>
      <w:r w:rsidR="00B043FC">
        <w:rPr>
          <w:lang w:val="sq-AL"/>
        </w:rPr>
        <w:t>ë</w:t>
      </w:r>
      <w:r w:rsidRPr="00305CB2">
        <w:rPr>
          <w:lang w:val="sq-AL"/>
        </w:rPr>
        <w:t xml:space="preserve"> </w:t>
      </w:r>
      <w:r w:rsidR="00305CB2" w:rsidRPr="00305CB2">
        <w:rPr>
          <w:lang w:val="sq-AL"/>
        </w:rPr>
        <w:t>këtë</w:t>
      </w:r>
      <w:r w:rsidRPr="00305CB2">
        <w:rPr>
          <w:lang w:val="sq-AL"/>
        </w:rPr>
        <w:t xml:space="preserve"> energji</w:t>
      </w:r>
      <w:r w:rsidR="00305CB2">
        <w:rPr>
          <w:lang w:val="sq-AL"/>
        </w:rPr>
        <w:t xml:space="preserve">, </w:t>
      </w:r>
      <w:r w:rsidR="00B043FC">
        <w:rPr>
          <w:lang w:val="sq-AL"/>
        </w:rPr>
        <w:t>shembull</w:t>
      </w:r>
      <w:r w:rsidRPr="00305CB2">
        <w:rPr>
          <w:lang w:val="sq-AL"/>
        </w:rPr>
        <w:t xml:space="preserve"> n</w:t>
      </w:r>
      <w:r w:rsidR="00B043FC">
        <w:rPr>
          <w:lang w:val="sq-AL"/>
        </w:rPr>
        <w:t>ë</w:t>
      </w:r>
      <w:r w:rsidRPr="00305CB2">
        <w:rPr>
          <w:lang w:val="sq-AL"/>
        </w:rPr>
        <w:t xml:space="preserve"> </w:t>
      </w:r>
      <w:r w:rsidR="00305CB2" w:rsidRPr="00305CB2">
        <w:rPr>
          <w:lang w:val="sq-AL"/>
        </w:rPr>
        <w:t>Bursën</w:t>
      </w:r>
      <w:r w:rsidRPr="00305CB2">
        <w:rPr>
          <w:lang w:val="sq-AL"/>
        </w:rPr>
        <w:t xml:space="preserve"> Hungareze</w:t>
      </w:r>
      <w:r w:rsidR="00B043FC">
        <w:rPr>
          <w:lang w:val="sq-AL"/>
        </w:rPr>
        <w:t xml:space="preserve">, dhe ta kalojnë këtë energji </w:t>
      </w:r>
      <w:r w:rsidRPr="00305CB2">
        <w:rPr>
          <w:lang w:val="sq-AL"/>
        </w:rPr>
        <w:t xml:space="preserve">sipas linjave transmetuese </w:t>
      </w:r>
      <w:r w:rsidR="00B043FC" w:rsidRPr="00305CB2">
        <w:rPr>
          <w:lang w:val="sq-AL"/>
        </w:rPr>
        <w:t>t</w:t>
      </w:r>
      <w:r w:rsidR="00B043FC">
        <w:rPr>
          <w:lang w:val="sq-AL"/>
        </w:rPr>
        <w:t>ë</w:t>
      </w:r>
      <w:r w:rsidRPr="00305CB2">
        <w:rPr>
          <w:lang w:val="sq-AL"/>
        </w:rPr>
        <w:t xml:space="preserve"> shteteve </w:t>
      </w:r>
      <w:r w:rsidR="00B043FC" w:rsidRPr="00305CB2">
        <w:rPr>
          <w:lang w:val="sq-AL"/>
        </w:rPr>
        <w:t>t</w:t>
      </w:r>
      <w:r w:rsidR="00B043FC">
        <w:rPr>
          <w:lang w:val="sq-AL"/>
        </w:rPr>
        <w:t>ë</w:t>
      </w:r>
      <w:r w:rsidRPr="00305CB2">
        <w:rPr>
          <w:lang w:val="sq-AL"/>
        </w:rPr>
        <w:t xml:space="preserve"> </w:t>
      </w:r>
      <w:r w:rsidR="00305CB2" w:rsidRPr="00305CB2">
        <w:rPr>
          <w:lang w:val="sq-AL"/>
        </w:rPr>
        <w:t>mëposhtme</w:t>
      </w:r>
      <w:r w:rsidRPr="00305CB2">
        <w:rPr>
          <w:lang w:val="sq-AL"/>
        </w:rPr>
        <w:t>:</w:t>
      </w:r>
    </w:p>
    <w:p w14:paraId="787EF788" w14:textId="77777777" w:rsidR="00AC7B37" w:rsidRPr="00305CB2" w:rsidRDefault="00AC7B37" w:rsidP="00AC7B37">
      <w:pPr>
        <w:ind w:right="80"/>
        <w:jc w:val="both"/>
        <w:rPr>
          <w:lang w:val="sq-AL"/>
        </w:rPr>
      </w:pPr>
    </w:p>
    <w:p w14:paraId="39EB1E08" w14:textId="16E8CA58" w:rsidR="00AC7B37" w:rsidRPr="00305CB2" w:rsidRDefault="00AC7B37" w:rsidP="00AC7B37">
      <w:pPr>
        <w:ind w:right="80"/>
        <w:jc w:val="both"/>
        <w:rPr>
          <w:lang w:val="sq-AL"/>
        </w:rPr>
      </w:pPr>
      <w:r w:rsidRPr="00305CB2">
        <w:rPr>
          <w:lang w:val="sq-AL"/>
        </w:rPr>
        <w:t>Rruga e par</w:t>
      </w:r>
      <w:r w:rsidR="00B043FC">
        <w:rPr>
          <w:lang w:val="sq-AL"/>
        </w:rPr>
        <w:t>ë</w:t>
      </w:r>
      <w:r w:rsidRPr="00305CB2">
        <w:rPr>
          <w:lang w:val="sq-AL"/>
        </w:rPr>
        <w:t>:</w:t>
      </w:r>
      <w:r w:rsidRPr="009B230C">
        <w:rPr>
          <w:i/>
          <w:iCs/>
          <w:lang w:val="sq-AL"/>
        </w:rPr>
        <w:t xml:space="preserve"> Hungari → Serbi → Mali </w:t>
      </w:r>
      <w:r w:rsidR="00305CB2" w:rsidRPr="009B230C">
        <w:rPr>
          <w:i/>
          <w:iCs/>
          <w:lang w:val="sq-AL"/>
        </w:rPr>
        <w:t>i</w:t>
      </w:r>
      <w:r w:rsidRPr="009B230C">
        <w:rPr>
          <w:i/>
          <w:iCs/>
          <w:lang w:val="sq-AL"/>
        </w:rPr>
        <w:t xml:space="preserve"> Zi → </w:t>
      </w:r>
      <w:r w:rsidR="00305CB2" w:rsidRPr="009B230C">
        <w:rPr>
          <w:i/>
          <w:iCs/>
          <w:lang w:val="sq-AL"/>
        </w:rPr>
        <w:t>Shqipëri</w:t>
      </w:r>
    </w:p>
    <w:p w14:paraId="0BEBFC0A" w14:textId="4D367D46" w:rsidR="00AC7B37" w:rsidRPr="00305CB2" w:rsidRDefault="00AC7B37" w:rsidP="00AC7B37">
      <w:pPr>
        <w:ind w:right="80"/>
        <w:jc w:val="both"/>
        <w:rPr>
          <w:lang w:val="sq-AL"/>
        </w:rPr>
      </w:pPr>
      <w:r w:rsidRPr="00305CB2">
        <w:rPr>
          <w:lang w:val="sq-AL"/>
        </w:rPr>
        <w:t>Rruga e dyt</w:t>
      </w:r>
      <w:r w:rsidR="00B043FC">
        <w:rPr>
          <w:lang w:val="sq-AL"/>
        </w:rPr>
        <w:t>ë</w:t>
      </w:r>
      <w:r w:rsidRPr="00305CB2">
        <w:rPr>
          <w:lang w:val="sq-AL"/>
        </w:rPr>
        <w:t xml:space="preserve">: </w:t>
      </w:r>
      <w:r w:rsidRPr="009B230C">
        <w:rPr>
          <w:i/>
          <w:iCs/>
          <w:lang w:val="sq-AL"/>
        </w:rPr>
        <w:t xml:space="preserve">Hungari→ Kroaci → Bosnje Hercegovine → Mali </w:t>
      </w:r>
      <w:r w:rsidR="00B043FC" w:rsidRPr="009B230C">
        <w:rPr>
          <w:i/>
          <w:iCs/>
          <w:lang w:val="sq-AL"/>
        </w:rPr>
        <w:t>i</w:t>
      </w:r>
      <w:r w:rsidRPr="009B230C">
        <w:rPr>
          <w:i/>
          <w:iCs/>
          <w:lang w:val="sq-AL"/>
        </w:rPr>
        <w:t xml:space="preserve"> Zi → </w:t>
      </w:r>
      <w:r w:rsidR="00305CB2" w:rsidRPr="009B230C">
        <w:rPr>
          <w:i/>
          <w:iCs/>
          <w:lang w:val="sq-AL"/>
        </w:rPr>
        <w:t>Shqipëri</w:t>
      </w:r>
    </w:p>
    <w:p w14:paraId="7730CB05" w14:textId="363970E4" w:rsidR="00AC7B37" w:rsidRPr="00305CB2" w:rsidRDefault="00AC7B37" w:rsidP="00AC7B37">
      <w:pPr>
        <w:ind w:right="80"/>
        <w:jc w:val="both"/>
        <w:rPr>
          <w:lang w:val="sq-AL"/>
        </w:rPr>
      </w:pPr>
      <w:r w:rsidRPr="00305CB2">
        <w:rPr>
          <w:lang w:val="sq-AL"/>
        </w:rPr>
        <w:t>Rruga e tret</w:t>
      </w:r>
      <w:r w:rsidR="00B043FC">
        <w:rPr>
          <w:lang w:val="sq-AL"/>
        </w:rPr>
        <w:t>ë</w:t>
      </w:r>
      <w:r w:rsidRPr="00305CB2">
        <w:rPr>
          <w:lang w:val="sq-AL"/>
        </w:rPr>
        <w:t xml:space="preserve">: </w:t>
      </w:r>
      <w:r w:rsidRPr="009B230C">
        <w:rPr>
          <w:i/>
          <w:iCs/>
          <w:lang w:val="sq-AL"/>
        </w:rPr>
        <w:t xml:space="preserve">Hungari  → Rumani→ Bullgari→ Maqedoni→ Kosove → </w:t>
      </w:r>
      <w:r w:rsidR="00305CB2" w:rsidRPr="009B230C">
        <w:rPr>
          <w:i/>
          <w:iCs/>
          <w:lang w:val="sq-AL"/>
        </w:rPr>
        <w:t>Shqipëri</w:t>
      </w:r>
    </w:p>
    <w:p w14:paraId="25E97248" w14:textId="2DFD26D4" w:rsidR="00AC7B37" w:rsidRDefault="00B043FC" w:rsidP="00AC7B37">
      <w:pPr>
        <w:ind w:right="80"/>
        <w:jc w:val="both"/>
        <w:rPr>
          <w:lang w:val="sq-AL"/>
        </w:rPr>
      </w:pPr>
      <w:r>
        <w:rPr>
          <w:lang w:val="sq-AL"/>
        </w:rPr>
        <w:t>Rruge alternative</w:t>
      </w:r>
    </w:p>
    <w:p w14:paraId="63C75E51" w14:textId="77777777" w:rsidR="00B043FC" w:rsidRPr="00305CB2" w:rsidRDefault="00B043FC" w:rsidP="00AC7B37">
      <w:pPr>
        <w:ind w:right="80"/>
        <w:jc w:val="both"/>
        <w:rPr>
          <w:lang w:val="sq-AL"/>
        </w:rPr>
      </w:pPr>
    </w:p>
    <w:p w14:paraId="07D20A8D" w14:textId="65CB002A" w:rsidR="00AC7B37" w:rsidRPr="00305CB2" w:rsidRDefault="00305CB2" w:rsidP="00AC7B37">
      <w:pPr>
        <w:ind w:right="80"/>
        <w:jc w:val="both"/>
        <w:rPr>
          <w:lang w:val="sq-AL"/>
        </w:rPr>
      </w:pPr>
      <w:r w:rsidRPr="00305CB2">
        <w:rPr>
          <w:lang w:val="sq-AL"/>
        </w:rPr>
        <w:t>Çmimi</w:t>
      </w:r>
      <w:r w:rsidR="00AC7B37" w:rsidRPr="00305CB2">
        <w:rPr>
          <w:lang w:val="sq-AL"/>
        </w:rPr>
        <w:t xml:space="preserve"> i </w:t>
      </w:r>
      <w:r w:rsidRPr="00305CB2">
        <w:rPr>
          <w:lang w:val="sq-AL"/>
        </w:rPr>
        <w:t>pritshëm</w:t>
      </w:r>
      <w:r w:rsidR="00AC7B37" w:rsidRPr="00305CB2">
        <w:rPr>
          <w:lang w:val="sq-AL"/>
        </w:rPr>
        <w:t xml:space="preserve"> </w:t>
      </w:r>
      <w:r w:rsidRPr="00305CB2">
        <w:rPr>
          <w:lang w:val="sq-AL"/>
        </w:rPr>
        <w:t>për</w:t>
      </w:r>
      <w:r w:rsidR="00AC7B37" w:rsidRPr="00305CB2">
        <w:rPr>
          <w:lang w:val="sq-AL"/>
        </w:rPr>
        <w:t xml:space="preserve"> blerje te </w:t>
      </w:r>
      <w:r w:rsidRPr="00305CB2">
        <w:rPr>
          <w:lang w:val="sq-AL"/>
        </w:rPr>
        <w:t>energjisë</w:t>
      </w:r>
      <w:r w:rsidR="00AC7B37" w:rsidRPr="00305CB2">
        <w:rPr>
          <w:lang w:val="sq-AL"/>
        </w:rPr>
        <w:t xml:space="preserve"> elektrike nga </w:t>
      </w:r>
      <w:r w:rsidR="00B043FC" w:rsidRPr="00305CB2">
        <w:rPr>
          <w:lang w:val="sq-AL"/>
        </w:rPr>
        <w:t>shoqëri</w:t>
      </w:r>
      <w:r w:rsidR="00B043FC">
        <w:rPr>
          <w:lang w:val="sq-AL"/>
        </w:rPr>
        <w:t>të</w:t>
      </w:r>
      <w:r w:rsidR="00AC7B37" w:rsidRPr="00305CB2">
        <w:rPr>
          <w:lang w:val="sq-AL"/>
        </w:rPr>
        <w:t xml:space="preserve"> tregtare/prodhuese</w:t>
      </w:r>
      <w:r>
        <w:rPr>
          <w:lang w:val="sq-AL"/>
        </w:rPr>
        <w:t>,</w:t>
      </w:r>
      <w:r w:rsidR="00B043FC">
        <w:rPr>
          <w:lang w:val="sq-AL"/>
        </w:rPr>
        <w:t xml:space="preserve"> </w:t>
      </w:r>
      <w:r w:rsidR="00AC7B37" w:rsidRPr="00305CB2">
        <w:rPr>
          <w:lang w:val="sq-AL"/>
        </w:rPr>
        <w:t xml:space="preserve">duke u bazuar tek formula e </w:t>
      </w:r>
      <w:r w:rsidRPr="00305CB2">
        <w:rPr>
          <w:lang w:val="sq-AL"/>
        </w:rPr>
        <w:t>përdoru</w:t>
      </w:r>
      <w:r>
        <w:rPr>
          <w:lang w:val="sq-AL"/>
        </w:rPr>
        <w:t>r</w:t>
      </w:r>
      <w:r w:rsidR="00AC7B37" w:rsidRPr="00305CB2">
        <w:rPr>
          <w:lang w:val="sq-AL"/>
        </w:rPr>
        <w:t xml:space="preserve"> nga Bordi </w:t>
      </w:r>
      <w:r>
        <w:rPr>
          <w:lang w:val="sq-AL"/>
        </w:rPr>
        <w:t>i</w:t>
      </w:r>
      <w:r w:rsidR="00AC7B37" w:rsidRPr="00305CB2">
        <w:rPr>
          <w:lang w:val="sq-AL"/>
        </w:rPr>
        <w:t xml:space="preserve"> ERE </w:t>
      </w:r>
      <w:r w:rsidRPr="00305CB2">
        <w:rPr>
          <w:lang w:val="sq-AL"/>
        </w:rPr>
        <w:t>pre</w:t>
      </w:r>
      <w:r w:rsidR="00AC7B37" w:rsidRPr="00305CB2">
        <w:rPr>
          <w:lang w:val="sq-AL"/>
        </w:rPr>
        <w:t xml:space="preserve"> </w:t>
      </w:r>
      <w:r w:rsidRPr="00305CB2">
        <w:rPr>
          <w:lang w:val="sq-AL"/>
        </w:rPr>
        <w:t>Metodologjinë</w:t>
      </w:r>
      <w:r w:rsidR="00AC7B37" w:rsidRPr="00305CB2">
        <w:rPr>
          <w:lang w:val="sq-AL"/>
        </w:rPr>
        <w:t xml:space="preserve"> e </w:t>
      </w:r>
      <w:r w:rsidRPr="00305CB2">
        <w:rPr>
          <w:lang w:val="sq-AL"/>
        </w:rPr>
        <w:t>përcaktimit</w:t>
      </w:r>
      <w:r w:rsidR="00AC7B37" w:rsidRPr="00305CB2">
        <w:rPr>
          <w:lang w:val="sq-AL"/>
        </w:rPr>
        <w:t xml:space="preserve"> t</w:t>
      </w:r>
      <w:r w:rsidR="00B043FC">
        <w:rPr>
          <w:lang w:val="sq-AL"/>
        </w:rPr>
        <w:t>ë</w:t>
      </w:r>
      <w:r w:rsidR="00AC7B37" w:rsidRPr="00305CB2">
        <w:rPr>
          <w:lang w:val="sq-AL"/>
        </w:rPr>
        <w:t xml:space="preserve"> </w:t>
      </w:r>
      <w:r w:rsidRPr="00305CB2">
        <w:rPr>
          <w:lang w:val="sq-AL"/>
        </w:rPr>
        <w:t>çmimit</w:t>
      </w:r>
      <w:r w:rsidR="00AC7B37" w:rsidRPr="00305CB2">
        <w:rPr>
          <w:lang w:val="sq-AL"/>
        </w:rPr>
        <w:t xml:space="preserve">/tarifave </w:t>
      </w:r>
      <w:r w:rsidR="00C76E65" w:rsidRPr="00305CB2">
        <w:rPr>
          <w:lang w:val="sq-AL"/>
        </w:rPr>
        <w:t>do t</w:t>
      </w:r>
      <w:r w:rsidR="00B043FC">
        <w:rPr>
          <w:lang w:val="sq-AL"/>
        </w:rPr>
        <w:t>ë</w:t>
      </w:r>
      <w:r w:rsidR="00C76E65" w:rsidRPr="00305CB2">
        <w:rPr>
          <w:lang w:val="sq-AL"/>
        </w:rPr>
        <w:t xml:space="preserve"> ishte</w:t>
      </w:r>
      <w:r w:rsidR="00AC7B37" w:rsidRPr="00305CB2">
        <w:rPr>
          <w:lang w:val="sq-AL"/>
        </w:rPr>
        <w:t xml:space="preserve"> = [</w:t>
      </w:r>
      <w:r w:rsidRPr="00305CB2">
        <w:rPr>
          <w:lang w:val="sq-AL"/>
        </w:rPr>
        <w:t>Çmimi</w:t>
      </w:r>
      <w:r w:rsidR="00AC7B37" w:rsidRPr="00305CB2">
        <w:rPr>
          <w:lang w:val="sq-AL"/>
        </w:rPr>
        <w:t xml:space="preserve"> referenc</w:t>
      </w:r>
      <w:r w:rsidR="00B043FC">
        <w:rPr>
          <w:lang w:val="sq-AL"/>
        </w:rPr>
        <w:t>ë</w:t>
      </w:r>
      <w:r w:rsidR="00AC7B37" w:rsidRPr="00305CB2">
        <w:rPr>
          <w:lang w:val="sq-AL"/>
        </w:rPr>
        <w:t xml:space="preserve"> i </w:t>
      </w:r>
      <w:r w:rsidRPr="00305CB2">
        <w:rPr>
          <w:lang w:val="sq-AL"/>
        </w:rPr>
        <w:t>Bursës</w:t>
      </w:r>
      <w:r w:rsidR="00AC7B37" w:rsidRPr="00305CB2">
        <w:rPr>
          <w:lang w:val="sq-AL"/>
        </w:rPr>
        <w:t xml:space="preserve"> Hungareze + Kosto/</w:t>
      </w:r>
      <w:r w:rsidRPr="00305CB2">
        <w:rPr>
          <w:lang w:val="sq-AL"/>
        </w:rPr>
        <w:t>Çmimi</w:t>
      </w:r>
      <w:r w:rsidR="00AC7B37" w:rsidRPr="00305CB2">
        <w:rPr>
          <w:lang w:val="sq-AL"/>
        </w:rPr>
        <w:t xml:space="preserve"> i kapaciteteve i siguruar nga ankandet e shpallura nga </w:t>
      </w:r>
      <w:r>
        <w:rPr>
          <w:lang w:val="sq-AL"/>
        </w:rPr>
        <w:t>OST-t</w:t>
      </w:r>
      <w:r w:rsidR="00B043FC">
        <w:rPr>
          <w:lang w:val="sq-AL"/>
        </w:rPr>
        <w:t>ë</w:t>
      </w:r>
      <w:r>
        <w:rPr>
          <w:lang w:val="sq-AL"/>
        </w:rPr>
        <w:t xml:space="preserve"> e çdo shteti ku kalon</w:t>
      </w:r>
      <w:r w:rsidR="00AC7B37" w:rsidRPr="00305CB2">
        <w:rPr>
          <w:lang w:val="sq-AL"/>
        </w:rPr>
        <w:t xml:space="preserve"> + Kosto administrative</w:t>
      </w:r>
      <w:r>
        <w:rPr>
          <w:lang w:val="sq-AL"/>
        </w:rPr>
        <w:t>/fitim</w:t>
      </w:r>
      <w:r w:rsidR="00AC7B37" w:rsidRPr="00305CB2">
        <w:rPr>
          <w:lang w:val="sq-AL"/>
        </w:rPr>
        <w:t xml:space="preserve"> t</w:t>
      </w:r>
      <w:r w:rsidR="00B043FC">
        <w:rPr>
          <w:lang w:val="sq-AL"/>
        </w:rPr>
        <w:t>ë</w:t>
      </w:r>
      <w:r w:rsidR="00AC7B37" w:rsidRPr="00305CB2">
        <w:rPr>
          <w:lang w:val="sq-AL"/>
        </w:rPr>
        <w:t xml:space="preserve"> </w:t>
      </w:r>
      <w:r w:rsidRPr="00305CB2">
        <w:rPr>
          <w:lang w:val="sq-AL"/>
        </w:rPr>
        <w:t>shoqërive</w:t>
      </w:r>
      <w:r w:rsidR="00AC7B37" w:rsidRPr="00305CB2">
        <w:rPr>
          <w:lang w:val="sq-AL"/>
        </w:rPr>
        <w:t xml:space="preserve"> tregtare/prodhuese  + Kosto/</w:t>
      </w:r>
      <w:proofErr w:type="spellStart"/>
      <w:r w:rsidR="00AC7B37" w:rsidRPr="00305CB2">
        <w:rPr>
          <w:lang w:val="sq-AL"/>
        </w:rPr>
        <w:t>fi</w:t>
      </w:r>
      <w:proofErr w:type="spellEnd"/>
      <w:r w:rsidR="00AC7B37" w:rsidRPr="00305CB2">
        <w:rPr>
          <w:lang w:val="sq-AL"/>
        </w:rPr>
        <w:t xml:space="preserve">-ja që Bursat kërkojnë për </w:t>
      </w:r>
      <w:r w:rsidRPr="00305CB2">
        <w:rPr>
          <w:lang w:val="sq-AL"/>
        </w:rPr>
        <w:t>çdo</w:t>
      </w:r>
      <w:r w:rsidR="00AC7B37" w:rsidRPr="00305CB2">
        <w:rPr>
          <w:lang w:val="sq-AL"/>
        </w:rPr>
        <w:t xml:space="preserve"> transaksion </w:t>
      </w:r>
      <w:r>
        <w:rPr>
          <w:lang w:val="sq-AL"/>
        </w:rPr>
        <w:t>+ Kosto t</w:t>
      </w:r>
      <w:r w:rsidR="00B043FC">
        <w:rPr>
          <w:lang w:val="sq-AL"/>
        </w:rPr>
        <w:t>ë</w:t>
      </w:r>
      <w:r>
        <w:rPr>
          <w:lang w:val="sq-AL"/>
        </w:rPr>
        <w:t xml:space="preserve"> tjera (kosto krediti etj.)</w:t>
      </w:r>
      <w:r w:rsidR="00AC7B37" w:rsidRPr="00305CB2">
        <w:rPr>
          <w:lang w:val="sq-AL"/>
        </w:rPr>
        <w:t>]</w:t>
      </w:r>
    </w:p>
    <w:p w14:paraId="1FEB8743" w14:textId="77777777" w:rsidR="00AC7B37" w:rsidRPr="00305CB2" w:rsidRDefault="00AC7B37" w:rsidP="00271C22">
      <w:pPr>
        <w:ind w:right="80"/>
        <w:jc w:val="both"/>
        <w:rPr>
          <w:lang w:val="sq-AL"/>
        </w:rPr>
      </w:pPr>
    </w:p>
    <w:p w14:paraId="29B0C61F" w14:textId="4E652617" w:rsidR="00BA4C0D" w:rsidRPr="00305CB2" w:rsidRDefault="00B043FC" w:rsidP="00271C22">
      <w:pPr>
        <w:ind w:right="80"/>
        <w:jc w:val="both"/>
        <w:rPr>
          <w:lang w:val="sq-AL"/>
        </w:rPr>
      </w:pPr>
      <w:r w:rsidRPr="00305CB2">
        <w:rPr>
          <w:lang w:val="sq-AL"/>
        </w:rPr>
        <w:lastRenderedPageBreak/>
        <w:t>Siç</w:t>
      </w:r>
      <w:r w:rsidR="001C03DA" w:rsidRPr="00305CB2">
        <w:rPr>
          <w:lang w:val="sq-AL"/>
        </w:rPr>
        <w:t xml:space="preserve"> konstatohet edhe nga </w:t>
      </w:r>
      <w:r w:rsidRPr="00305CB2">
        <w:rPr>
          <w:lang w:val="sq-AL"/>
        </w:rPr>
        <w:t>mënyra</w:t>
      </w:r>
      <w:r w:rsidR="001C03DA" w:rsidRPr="00305CB2">
        <w:rPr>
          <w:lang w:val="sq-AL"/>
        </w:rPr>
        <w:t xml:space="preserve"> </w:t>
      </w:r>
      <w:r w:rsidR="00C76E65" w:rsidRPr="00305CB2">
        <w:rPr>
          <w:lang w:val="sq-AL"/>
        </w:rPr>
        <w:t>si formohet</w:t>
      </w:r>
      <w:r w:rsidR="001C03DA" w:rsidRPr="00305CB2">
        <w:rPr>
          <w:lang w:val="sq-AL"/>
        </w:rPr>
        <w:t xml:space="preserve"> </w:t>
      </w:r>
      <w:r w:rsidRPr="00305CB2">
        <w:rPr>
          <w:lang w:val="sq-AL"/>
        </w:rPr>
        <w:t>çmimi</w:t>
      </w:r>
      <w:r w:rsidR="001C03DA" w:rsidRPr="00305CB2">
        <w:rPr>
          <w:lang w:val="sq-AL"/>
        </w:rPr>
        <w:t xml:space="preserve">, </w:t>
      </w:r>
      <w:r>
        <w:rPr>
          <w:lang w:val="sq-AL"/>
        </w:rPr>
        <w:t xml:space="preserve">nuk mund të bëjmë referenca të çmimit të barabarta me </w:t>
      </w:r>
      <w:r w:rsidR="001C03DA" w:rsidRPr="00305CB2">
        <w:rPr>
          <w:lang w:val="sq-AL"/>
        </w:rPr>
        <w:t>burs</w:t>
      </w:r>
      <w:r>
        <w:rPr>
          <w:lang w:val="sq-AL"/>
        </w:rPr>
        <w:t>ën</w:t>
      </w:r>
      <w:r w:rsidR="001C03DA" w:rsidRPr="00305CB2">
        <w:rPr>
          <w:lang w:val="sq-AL"/>
        </w:rPr>
        <w:t xml:space="preserve"> Hungareze</w:t>
      </w:r>
      <w:r>
        <w:rPr>
          <w:lang w:val="sq-AL"/>
        </w:rPr>
        <w:t xml:space="preserve"> si në shitje ashtu edhe në blerje. KESH nuk është i anëtarësuar në bursë për shkak të garancive të larta financiare dhe nevojës për të operuar </w:t>
      </w:r>
      <w:proofErr w:type="spellStart"/>
      <w:r w:rsidR="005757FE">
        <w:rPr>
          <w:lang w:val="sq-AL"/>
        </w:rPr>
        <w:t>ndërkombëtarisht</w:t>
      </w:r>
      <w:proofErr w:type="spellEnd"/>
      <w:r>
        <w:rPr>
          <w:lang w:val="sq-AL"/>
        </w:rPr>
        <w:t xml:space="preserve"> në sigurimin e kapaciteteve të transmetimit. Gjithashtu anëtarësimi në ndonjë Bursë (</w:t>
      </w:r>
      <w:proofErr w:type="spellStart"/>
      <w:r>
        <w:rPr>
          <w:lang w:val="sq-AL"/>
        </w:rPr>
        <w:t>Energy</w:t>
      </w:r>
      <w:proofErr w:type="spellEnd"/>
      <w:r>
        <w:rPr>
          <w:lang w:val="sq-AL"/>
        </w:rPr>
        <w:t xml:space="preserve"> Exchange) kërkon stabilitet financiar të kompanisë. Këto janë arsyet që KESH, në pamundësi për të operuar drejtpërdrejtë në Bursë, tregton energji nëpërmjet palëve të treta. </w:t>
      </w:r>
    </w:p>
    <w:p w14:paraId="7DAD5040" w14:textId="77777777" w:rsidR="00271C22" w:rsidRPr="00305CB2" w:rsidRDefault="00271C22" w:rsidP="00271C22">
      <w:pPr>
        <w:ind w:right="80"/>
        <w:jc w:val="both"/>
        <w:rPr>
          <w:lang w:val="sq-AL"/>
        </w:rPr>
      </w:pPr>
    </w:p>
    <w:p w14:paraId="7CECA1E7" w14:textId="77777777" w:rsidR="00271C22" w:rsidRPr="00305CB2" w:rsidRDefault="00271C22" w:rsidP="005D1A8D">
      <w:pPr>
        <w:ind w:left="-90" w:right="80"/>
        <w:jc w:val="both"/>
        <w:rPr>
          <w:lang w:val="sq-AL"/>
        </w:rPr>
      </w:pPr>
    </w:p>
    <w:sectPr w:rsidR="00271C22" w:rsidRPr="00305CB2">
      <w:headerReference w:type="default" r:id="rId9"/>
      <w:footerReference w:type="default" r:id="rId10"/>
      <w:pgSz w:w="11906" w:h="16838"/>
      <w:pgMar w:top="1620" w:right="1440" w:bottom="1440" w:left="1440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1F57E" w14:textId="77777777" w:rsidR="00D357B4" w:rsidRDefault="00D357B4">
      <w:r>
        <w:separator/>
      </w:r>
    </w:p>
  </w:endnote>
  <w:endnote w:type="continuationSeparator" w:id="0">
    <w:p w14:paraId="6DD1A4A6" w14:textId="77777777" w:rsidR="00D357B4" w:rsidRDefault="00D35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18"/>
      <w:gridCol w:w="1308"/>
    </w:tblGrid>
    <w:tr w:rsidR="00C748E3" w14:paraId="285C6D41" w14:textId="77777777">
      <w:tc>
        <w:tcPr>
          <w:tcW w:w="8010" w:type="dxa"/>
          <w:vAlign w:val="center"/>
        </w:tcPr>
        <w:p w14:paraId="2BC23145" w14:textId="633AA6DE" w:rsidR="00C748E3" w:rsidRDefault="006A2C9E" w:rsidP="00AD6B03">
          <w:pPr>
            <w:pStyle w:val="Footer"/>
            <w:rPr>
              <w:rFonts w:ascii="Tahoma" w:hAnsi="Tahoma" w:cs="Tahoma"/>
              <w:sz w:val="14"/>
              <w:szCs w:val="12"/>
            </w:rPr>
          </w:pPr>
          <w:r>
            <w:rPr>
              <w:rFonts w:ascii="Tahoma" w:hAnsi="Tahoma" w:cs="Tahoma"/>
              <w:sz w:val="14"/>
              <w:szCs w:val="12"/>
            </w:rPr>
            <w:t xml:space="preserve">Rr. Viktor </w:t>
          </w:r>
          <w:proofErr w:type="spellStart"/>
          <w:r>
            <w:rPr>
              <w:rFonts w:ascii="Tahoma" w:hAnsi="Tahoma" w:cs="Tahoma"/>
              <w:sz w:val="14"/>
              <w:szCs w:val="12"/>
            </w:rPr>
            <w:t>Eftimiu</w:t>
          </w:r>
          <w:proofErr w:type="spellEnd"/>
          <w:r>
            <w:rPr>
              <w:rFonts w:ascii="Tahoma" w:hAnsi="Tahoma" w:cs="Tahoma"/>
              <w:sz w:val="14"/>
              <w:szCs w:val="12"/>
            </w:rPr>
            <w:t xml:space="preserve">, Nr. 12, </w:t>
          </w:r>
          <w:proofErr w:type="spellStart"/>
          <w:r>
            <w:rPr>
              <w:rFonts w:ascii="Tahoma" w:hAnsi="Tahoma" w:cs="Tahoma"/>
              <w:sz w:val="14"/>
              <w:szCs w:val="12"/>
            </w:rPr>
            <w:t>Tiranë</w:t>
          </w:r>
          <w:proofErr w:type="spellEnd"/>
          <w:r>
            <w:rPr>
              <w:rFonts w:ascii="Tahoma" w:hAnsi="Tahoma" w:cs="Tahoma"/>
              <w:sz w:val="14"/>
              <w:szCs w:val="12"/>
            </w:rPr>
            <w:t xml:space="preserve">, </w:t>
          </w:r>
          <w:proofErr w:type="spellStart"/>
          <w:r>
            <w:rPr>
              <w:rFonts w:ascii="Tahoma" w:hAnsi="Tahoma" w:cs="Tahoma"/>
              <w:sz w:val="14"/>
              <w:szCs w:val="12"/>
            </w:rPr>
            <w:t>Shqipëri</w:t>
          </w:r>
          <w:proofErr w:type="spellEnd"/>
          <w:r>
            <w:rPr>
              <w:rFonts w:ascii="Tahoma" w:hAnsi="Tahoma" w:cs="Tahoma"/>
              <w:sz w:val="14"/>
              <w:szCs w:val="12"/>
            </w:rPr>
            <w:t xml:space="preserve"> | Tel +355 4 2230888 | Fax +355 4 2232046 | info@kesh.al  | </w:t>
          </w:r>
          <w:r w:rsidR="00B043FC">
            <w:rPr>
              <w:rFonts w:ascii="Tahoma" w:hAnsi="Tahoma" w:cs="Tahoma"/>
              <w:sz w:val="14"/>
              <w:szCs w:val="12"/>
            </w:rPr>
            <w:t>ëëë</w:t>
          </w:r>
          <w:r>
            <w:rPr>
              <w:rFonts w:ascii="Tahoma" w:hAnsi="Tahoma" w:cs="Tahoma"/>
              <w:sz w:val="14"/>
              <w:szCs w:val="12"/>
            </w:rPr>
            <w:t xml:space="preserve">.kesh.al   </w:t>
          </w:r>
        </w:p>
      </w:tc>
      <w:tc>
        <w:tcPr>
          <w:tcW w:w="1340" w:type="dxa"/>
        </w:tcPr>
        <w:p w14:paraId="53E8E315" w14:textId="77777777" w:rsidR="00C748E3" w:rsidRDefault="006A2C9E">
          <w:pPr>
            <w:pBdr>
              <w:top w:val="single" w:sz="4" w:space="1" w:color="auto"/>
            </w:pBdr>
            <w:tabs>
              <w:tab w:val="right" w:pos="9753"/>
            </w:tabs>
            <w:jc w:val="right"/>
            <w:rPr>
              <w:sz w:val="14"/>
              <w:szCs w:val="12"/>
            </w:rPr>
          </w:pPr>
          <w:r>
            <w:rPr>
              <w:rFonts w:ascii="Tahoma" w:hAnsi="Tahoma" w:cs="Tahoma"/>
              <w:sz w:val="14"/>
              <w:szCs w:val="12"/>
            </w:rPr>
            <w:t>Faqe:</w:t>
          </w:r>
          <w:r>
            <w:rPr>
              <w:rFonts w:ascii="Tahoma" w:hAnsi="Tahoma" w:cs="Tahoma"/>
              <w:bCs/>
              <w:sz w:val="14"/>
              <w:szCs w:val="12"/>
            </w:rPr>
            <w:fldChar w:fldCharType="begin"/>
          </w:r>
          <w:r>
            <w:rPr>
              <w:rFonts w:ascii="Tahoma" w:hAnsi="Tahoma" w:cs="Tahoma"/>
              <w:bCs/>
              <w:sz w:val="14"/>
              <w:szCs w:val="12"/>
            </w:rPr>
            <w:instrText xml:space="preserve"> PAGE </w:instrText>
          </w:r>
          <w:r>
            <w:rPr>
              <w:rFonts w:ascii="Tahoma" w:hAnsi="Tahoma" w:cs="Tahoma"/>
              <w:bCs/>
              <w:sz w:val="14"/>
              <w:szCs w:val="12"/>
            </w:rPr>
            <w:fldChar w:fldCharType="separate"/>
          </w:r>
          <w:r w:rsidR="00C76E65">
            <w:rPr>
              <w:rFonts w:ascii="Tahoma" w:hAnsi="Tahoma" w:cs="Tahoma"/>
              <w:bCs/>
              <w:noProof/>
              <w:sz w:val="14"/>
              <w:szCs w:val="12"/>
            </w:rPr>
            <w:t>2</w:t>
          </w:r>
          <w:r>
            <w:rPr>
              <w:rFonts w:ascii="Tahoma" w:hAnsi="Tahoma" w:cs="Tahoma"/>
              <w:bCs/>
              <w:sz w:val="14"/>
              <w:szCs w:val="12"/>
            </w:rPr>
            <w:fldChar w:fldCharType="end"/>
          </w:r>
          <w:r w:rsidR="00AD6B03">
            <w:rPr>
              <w:rFonts w:ascii="Tahoma" w:hAnsi="Tahoma" w:cs="Tahoma"/>
              <w:sz w:val="14"/>
              <w:szCs w:val="12"/>
            </w:rPr>
            <w:t>/</w:t>
          </w:r>
          <w:r>
            <w:rPr>
              <w:rFonts w:ascii="Tahoma" w:hAnsi="Tahoma" w:cs="Tahoma"/>
              <w:bCs/>
              <w:sz w:val="14"/>
              <w:szCs w:val="12"/>
            </w:rPr>
            <w:fldChar w:fldCharType="begin"/>
          </w:r>
          <w:r>
            <w:rPr>
              <w:rFonts w:ascii="Tahoma" w:hAnsi="Tahoma" w:cs="Tahoma"/>
              <w:bCs/>
              <w:sz w:val="14"/>
              <w:szCs w:val="12"/>
            </w:rPr>
            <w:instrText xml:space="preserve"> NUMPAGES  </w:instrText>
          </w:r>
          <w:r>
            <w:rPr>
              <w:rFonts w:ascii="Tahoma" w:hAnsi="Tahoma" w:cs="Tahoma"/>
              <w:bCs/>
              <w:sz w:val="14"/>
              <w:szCs w:val="12"/>
            </w:rPr>
            <w:fldChar w:fldCharType="separate"/>
          </w:r>
          <w:r w:rsidR="00C76E65">
            <w:rPr>
              <w:rFonts w:ascii="Tahoma" w:hAnsi="Tahoma" w:cs="Tahoma"/>
              <w:bCs/>
              <w:noProof/>
              <w:sz w:val="14"/>
              <w:szCs w:val="12"/>
            </w:rPr>
            <w:t>2</w:t>
          </w:r>
          <w:r>
            <w:rPr>
              <w:rFonts w:ascii="Tahoma" w:hAnsi="Tahoma" w:cs="Tahoma"/>
              <w:bCs/>
              <w:sz w:val="14"/>
              <w:szCs w:val="12"/>
            </w:rPr>
            <w:fldChar w:fldCharType="end"/>
          </w:r>
        </w:p>
      </w:tc>
    </w:tr>
  </w:tbl>
  <w:p w14:paraId="7CD81B2B" w14:textId="77777777" w:rsidR="00C748E3" w:rsidRDefault="00C748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4C106" w14:textId="77777777" w:rsidR="00D357B4" w:rsidRDefault="00D357B4">
      <w:r>
        <w:separator/>
      </w:r>
    </w:p>
  </w:footnote>
  <w:footnote w:type="continuationSeparator" w:id="0">
    <w:p w14:paraId="04ED4431" w14:textId="77777777" w:rsidR="00D357B4" w:rsidRDefault="00D35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748"/>
      <w:gridCol w:w="1668"/>
      <w:gridCol w:w="5610"/>
    </w:tblGrid>
    <w:tr w:rsidR="00C748E3" w14:paraId="48A8CF97" w14:textId="77777777">
      <w:tc>
        <w:tcPr>
          <w:tcW w:w="934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53F86FEE" w14:textId="77777777" w:rsidR="00C748E3" w:rsidRDefault="006A2C9E">
          <w:pPr>
            <w:pStyle w:val="Header"/>
          </w:pPr>
          <w:r>
            <w:rPr>
              <w:noProof/>
            </w:rPr>
            <w:drawing>
              <wp:inline distT="0" distB="0" distL="0" distR="0" wp14:anchorId="63399405" wp14:editId="32F07063">
                <wp:extent cx="972820" cy="4191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4418" cy="4413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1" w:type="pct"/>
          <w:tcBorders>
            <w:top w:val="nil"/>
            <w:left w:val="nil"/>
            <w:bottom w:val="single" w:sz="4" w:space="0" w:color="179DAB"/>
            <w:right w:val="nil"/>
          </w:tcBorders>
        </w:tcPr>
        <w:p w14:paraId="7CEAED1A" w14:textId="77777777" w:rsidR="00C748E3" w:rsidRDefault="00C748E3">
          <w:pPr>
            <w:pStyle w:val="Header"/>
            <w:jc w:val="right"/>
          </w:pPr>
        </w:p>
      </w:tc>
      <w:tc>
        <w:tcPr>
          <w:tcW w:w="3125" w:type="pct"/>
          <w:tcBorders>
            <w:top w:val="nil"/>
            <w:left w:val="nil"/>
            <w:bottom w:val="single" w:sz="4" w:space="0" w:color="179DAB"/>
            <w:right w:val="nil"/>
          </w:tcBorders>
          <w:vAlign w:val="center"/>
        </w:tcPr>
        <w:p w14:paraId="5B96F102" w14:textId="77777777" w:rsidR="00C748E3" w:rsidRDefault="006A2C9E">
          <w:pPr>
            <w:pStyle w:val="Header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16"/>
              <w:szCs w:val="20"/>
            </w:rPr>
            <w:t>DOT –</w:t>
          </w:r>
          <w:proofErr w:type="spellStart"/>
          <w:r>
            <w:rPr>
              <w:rFonts w:ascii="Tahoma" w:hAnsi="Tahoma" w:cs="Tahoma"/>
              <w:sz w:val="16"/>
              <w:szCs w:val="20"/>
            </w:rPr>
            <w:t>Departamenti</w:t>
          </w:r>
          <w:proofErr w:type="spellEnd"/>
          <w:r>
            <w:rPr>
              <w:rFonts w:ascii="Tahoma" w:hAnsi="Tahoma" w:cs="Tahoma"/>
              <w:sz w:val="16"/>
              <w:szCs w:val="20"/>
            </w:rPr>
            <w:t xml:space="preserve"> </w:t>
          </w:r>
          <w:proofErr w:type="spellStart"/>
          <w:r>
            <w:rPr>
              <w:rFonts w:ascii="Tahoma" w:hAnsi="Tahoma" w:cs="Tahoma"/>
              <w:sz w:val="16"/>
              <w:szCs w:val="20"/>
            </w:rPr>
            <w:t>i</w:t>
          </w:r>
          <w:proofErr w:type="spellEnd"/>
          <w:r>
            <w:rPr>
              <w:rFonts w:ascii="Tahoma" w:hAnsi="Tahoma" w:cs="Tahoma"/>
              <w:sz w:val="16"/>
              <w:szCs w:val="20"/>
            </w:rPr>
            <w:t xml:space="preserve"> </w:t>
          </w:r>
          <w:proofErr w:type="spellStart"/>
          <w:r>
            <w:rPr>
              <w:rFonts w:ascii="Tahoma" w:hAnsi="Tahoma" w:cs="Tahoma"/>
              <w:sz w:val="16"/>
              <w:szCs w:val="20"/>
            </w:rPr>
            <w:t>Operimit</w:t>
          </w:r>
          <w:proofErr w:type="spellEnd"/>
          <w:r>
            <w:rPr>
              <w:rFonts w:ascii="Tahoma" w:hAnsi="Tahoma" w:cs="Tahoma"/>
              <w:sz w:val="16"/>
              <w:szCs w:val="20"/>
            </w:rPr>
            <w:t xml:space="preserve"> </w:t>
          </w:r>
          <w:proofErr w:type="spellStart"/>
          <w:r>
            <w:rPr>
              <w:rFonts w:ascii="Tahoma" w:hAnsi="Tahoma" w:cs="Tahoma"/>
              <w:sz w:val="16"/>
              <w:szCs w:val="20"/>
            </w:rPr>
            <w:t>dhe</w:t>
          </w:r>
          <w:proofErr w:type="spellEnd"/>
          <w:r>
            <w:rPr>
              <w:rFonts w:ascii="Tahoma" w:hAnsi="Tahoma" w:cs="Tahoma"/>
              <w:sz w:val="16"/>
              <w:szCs w:val="20"/>
            </w:rPr>
            <w:t xml:space="preserve"> </w:t>
          </w:r>
          <w:proofErr w:type="spellStart"/>
          <w:r>
            <w:rPr>
              <w:rFonts w:ascii="Tahoma" w:hAnsi="Tahoma" w:cs="Tahoma"/>
              <w:sz w:val="16"/>
              <w:szCs w:val="20"/>
            </w:rPr>
            <w:t>Tregtimit</w:t>
          </w:r>
          <w:proofErr w:type="spellEnd"/>
        </w:p>
      </w:tc>
    </w:tr>
  </w:tbl>
  <w:p w14:paraId="0F30A2FC" w14:textId="77777777" w:rsidR="00C748E3" w:rsidRDefault="00C748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F42E0"/>
    <w:multiLevelType w:val="hybridMultilevel"/>
    <w:tmpl w:val="1C82FAA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7A7FF6"/>
    <w:multiLevelType w:val="hybridMultilevel"/>
    <w:tmpl w:val="C64E3C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E25CF"/>
    <w:multiLevelType w:val="hybridMultilevel"/>
    <w:tmpl w:val="431ABBA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3C8"/>
    <w:rsid w:val="00000467"/>
    <w:rsid w:val="0001181A"/>
    <w:rsid w:val="000253E3"/>
    <w:rsid w:val="00092BFE"/>
    <w:rsid w:val="000942A1"/>
    <w:rsid w:val="000A1062"/>
    <w:rsid w:val="000B730C"/>
    <w:rsid w:val="000C0152"/>
    <w:rsid w:val="000F0459"/>
    <w:rsid w:val="00110704"/>
    <w:rsid w:val="00121C49"/>
    <w:rsid w:val="0015125B"/>
    <w:rsid w:val="00163357"/>
    <w:rsid w:val="001749C7"/>
    <w:rsid w:val="00180C46"/>
    <w:rsid w:val="00182143"/>
    <w:rsid w:val="001C03DA"/>
    <w:rsid w:val="001D7ED0"/>
    <w:rsid w:val="002049B3"/>
    <w:rsid w:val="00211CA2"/>
    <w:rsid w:val="00213290"/>
    <w:rsid w:val="00254390"/>
    <w:rsid w:val="00254C92"/>
    <w:rsid w:val="002666AD"/>
    <w:rsid w:val="00266972"/>
    <w:rsid w:val="00271C22"/>
    <w:rsid w:val="00290914"/>
    <w:rsid w:val="002C4312"/>
    <w:rsid w:val="002C5B27"/>
    <w:rsid w:val="002D7B1B"/>
    <w:rsid w:val="002F08A4"/>
    <w:rsid w:val="002F3DEE"/>
    <w:rsid w:val="002F58AD"/>
    <w:rsid w:val="00301367"/>
    <w:rsid w:val="00305CB2"/>
    <w:rsid w:val="0031789E"/>
    <w:rsid w:val="00330C64"/>
    <w:rsid w:val="003646AA"/>
    <w:rsid w:val="003655BA"/>
    <w:rsid w:val="00376476"/>
    <w:rsid w:val="003A2924"/>
    <w:rsid w:val="003B05E9"/>
    <w:rsid w:val="003B78BD"/>
    <w:rsid w:val="003D00D6"/>
    <w:rsid w:val="003D7F9E"/>
    <w:rsid w:val="00412FB9"/>
    <w:rsid w:val="00432ABE"/>
    <w:rsid w:val="004E1DB8"/>
    <w:rsid w:val="004E1E3B"/>
    <w:rsid w:val="0052047F"/>
    <w:rsid w:val="00524AF7"/>
    <w:rsid w:val="005325A2"/>
    <w:rsid w:val="005757FE"/>
    <w:rsid w:val="005B6FD6"/>
    <w:rsid w:val="005C131D"/>
    <w:rsid w:val="005C7AE0"/>
    <w:rsid w:val="005D1A8D"/>
    <w:rsid w:val="005E3E1B"/>
    <w:rsid w:val="005F782A"/>
    <w:rsid w:val="00602563"/>
    <w:rsid w:val="00670249"/>
    <w:rsid w:val="006811BF"/>
    <w:rsid w:val="00697080"/>
    <w:rsid w:val="006A2C9E"/>
    <w:rsid w:val="006D1A17"/>
    <w:rsid w:val="006D7194"/>
    <w:rsid w:val="006F138E"/>
    <w:rsid w:val="00714CA0"/>
    <w:rsid w:val="007572CD"/>
    <w:rsid w:val="00780139"/>
    <w:rsid w:val="007A2BA5"/>
    <w:rsid w:val="007E5180"/>
    <w:rsid w:val="007F49FF"/>
    <w:rsid w:val="007F5F65"/>
    <w:rsid w:val="00805C6C"/>
    <w:rsid w:val="0084510D"/>
    <w:rsid w:val="00890125"/>
    <w:rsid w:val="00893235"/>
    <w:rsid w:val="00896298"/>
    <w:rsid w:val="008B49BA"/>
    <w:rsid w:val="00901708"/>
    <w:rsid w:val="0092183F"/>
    <w:rsid w:val="009300F3"/>
    <w:rsid w:val="00946583"/>
    <w:rsid w:val="00951095"/>
    <w:rsid w:val="009568BA"/>
    <w:rsid w:val="0096758A"/>
    <w:rsid w:val="009769E2"/>
    <w:rsid w:val="00997A29"/>
    <w:rsid w:val="009A5A84"/>
    <w:rsid w:val="009B230C"/>
    <w:rsid w:val="009D1B0B"/>
    <w:rsid w:val="00AA5BAF"/>
    <w:rsid w:val="00AB5824"/>
    <w:rsid w:val="00AC7B37"/>
    <w:rsid w:val="00AD6B03"/>
    <w:rsid w:val="00AF0975"/>
    <w:rsid w:val="00AF1CA9"/>
    <w:rsid w:val="00B02581"/>
    <w:rsid w:val="00B043FC"/>
    <w:rsid w:val="00B56C10"/>
    <w:rsid w:val="00B649FB"/>
    <w:rsid w:val="00B722AD"/>
    <w:rsid w:val="00BA4C0D"/>
    <w:rsid w:val="00BC59DA"/>
    <w:rsid w:val="00C01828"/>
    <w:rsid w:val="00C6119F"/>
    <w:rsid w:val="00C748E3"/>
    <w:rsid w:val="00C76E65"/>
    <w:rsid w:val="00C856C2"/>
    <w:rsid w:val="00C9313B"/>
    <w:rsid w:val="00CA13C8"/>
    <w:rsid w:val="00CA61BA"/>
    <w:rsid w:val="00CB7296"/>
    <w:rsid w:val="00CB75E8"/>
    <w:rsid w:val="00CC62C4"/>
    <w:rsid w:val="00CD5812"/>
    <w:rsid w:val="00CE1698"/>
    <w:rsid w:val="00CF33EB"/>
    <w:rsid w:val="00D357B4"/>
    <w:rsid w:val="00D460DC"/>
    <w:rsid w:val="00D46CA3"/>
    <w:rsid w:val="00D61F58"/>
    <w:rsid w:val="00D7509A"/>
    <w:rsid w:val="00D817CD"/>
    <w:rsid w:val="00D954D7"/>
    <w:rsid w:val="00DB040C"/>
    <w:rsid w:val="00DB5206"/>
    <w:rsid w:val="00DE5107"/>
    <w:rsid w:val="00E3366E"/>
    <w:rsid w:val="00E473CF"/>
    <w:rsid w:val="00E92B85"/>
    <w:rsid w:val="00EE1F0D"/>
    <w:rsid w:val="00F21CEA"/>
    <w:rsid w:val="00F24A24"/>
    <w:rsid w:val="00F333F8"/>
    <w:rsid w:val="00F339D9"/>
    <w:rsid w:val="00F52767"/>
    <w:rsid w:val="00F544ED"/>
    <w:rsid w:val="00F57A00"/>
    <w:rsid w:val="00F74403"/>
    <w:rsid w:val="00F77300"/>
    <w:rsid w:val="00F86045"/>
    <w:rsid w:val="00FC5C2D"/>
    <w:rsid w:val="00FD026E"/>
    <w:rsid w:val="1EA0590D"/>
    <w:rsid w:val="4A4C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2CE8673"/>
  <w15:docId w15:val="{69DE8466-7CF4-4255-84C3-1C82019E8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="MS Minch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qFormat/>
    <w:rPr>
      <w:color w:val="0000FF"/>
      <w:u w:val="single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qFormat/>
    <w:rPr>
      <w:rFonts w:ascii="Times New Roman" w:eastAsia="MS Mincho" w:hAnsi="Times New Roman" w:cs="Times New Roman"/>
      <w:sz w:val="24"/>
      <w:szCs w:val="24"/>
    </w:rPr>
  </w:style>
  <w:style w:type="paragraph" w:customStyle="1" w:styleId="Style">
    <w:name w:val="Style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MS Mincho" w:hAnsi="Times New Roman"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MS Mincho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eastAsia="MS Mincho" w:hAnsi="Times New Roman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5D1A8D"/>
    <w:rPr>
      <w:rFonts w:eastAsia="MS Minch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7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EBF003-1449-492B-B2FE-5585D9090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Financa-05</dc:creator>
  <cp:lastModifiedBy>Adela Murthi</cp:lastModifiedBy>
  <cp:revision>2</cp:revision>
  <cp:lastPrinted>2022-06-10T13:34:00Z</cp:lastPrinted>
  <dcterms:created xsi:type="dcterms:W3CDTF">2023-07-21T10:14:00Z</dcterms:created>
  <dcterms:modified xsi:type="dcterms:W3CDTF">2023-07-21T10:14:00Z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330AD4678BB945CBA67C8E2F2ACE62BE</vt:lpwstr>
  </property>
</Properties>
</file>